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 xml:space="preserve">Modèle de délibération relative à la redevance Performance des systèmes d’assainissement collectif pour l’année 2025 </w:t>
      </w:r>
    </w:p>
    <w:p>
      <w:pPr>
        <w:pStyle w:val="Normal"/>
        <w:jc w:val="center"/>
        <w:rPr>
          <w:b/>
          <w:bCs/>
          <w:color w:val="000000" w:themeColor="text1"/>
          <w:u w:val="single"/>
        </w:rPr>
      </w:pPr>
      <w:r>
        <w:rPr>
          <w:b/>
          <w:bCs/>
          <w:u w:val="single"/>
        </w:rPr>
        <w:t xml:space="preserve">(un autre modèle sera proposé pour les années suivantes afin d’intégrer les coefficients de </w:t>
      </w:r>
      <w:r>
        <w:rPr>
          <w:b/>
          <w:bCs/>
          <w:color w:val="000000" w:themeColor="text1"/>
          <w:u w:val="single"/>
        </w:rPr>
        <w:t>modulation)</w:t>
      </w:r>
    </w:p>
    <w:p>
      <w:pPr>
        <w:pStyle w:val="Normal"/>
        <w:pBdr>
          <w:top w:val="single" w:sz="4" w:space="1" w:color="000000"/>
          <w:left w:val="single" w:sz="4" w:space="4" w:color="000000"/>
          <w:bottom w:val="single" w:sz="4" w:space="1" w:color="000000"/>
          <w:right w:val="single" w:sz="4" w:space="4" w:color="000000"/>
        </w:pBdr>
        <w:rPr>
          <w:i/>
          <w:i/>
          <w:iCs/>
        </w:rPr>
      </w:pPr>
      <w:r>
        <w:rPr>
          <w:i/>
          <w:iCs/>
        </w:rPr>
        <w:t>GRILLE DE LECTURE :</w:t>
      </w:r>
    </w:p>
    <w:p>
      <w:pPr>
        <w:pStyle w:val="Normal"/>
        <w:pBdr>
          <w:top w:val="single" w:sz="4" w:space="1" w:color="000000"/>
          <w:left w:val="single" w:sz="4" w:space="4" w:color="000000"/>
          <w:bottom w:val="single" w:sz="4" w:space="1" w:color="000000"/>
          <w:right w:val="single" w:sz="4" w:space="4" w:color="000000"/>
        </w:pBdr>
        <w:rPr>
          <w:i/>
          <w:i/>
          <w:iCs/>
        </w:rPr>
      </w:pPr>
      <w:r>
        <w:rPr>
          <w:i/>
          <w:iCs/>
          <w:highlight w:val="yellow"/>
        </w:rPr>
        <w:t>En jaune figurent les dispositions à compléter ou les choix à faire par la collectivité</w:t>
      </w:r>
    </w:p>
    <w:p>
      <w:pPr>
        <w:pStyle w:val="Normal"/>
        <w:pBdr>
          <w:top w:val="single" w:sz="4" w:space="1" w:color="000000"/>
          <w:left w:val="single" w:sz="4" w:space="4" w:color="000000"/>
          <w:bottom w:val="single" w:sz="4" w:space="1" w:color="000000"/>
          <w:right w:val="single" w:sz="4" w:space="4" w:color="000000"/>
        </w:pBdr>
        <w:rPr>
          <w:i/>
          <w:i/>
          <w:iCs/>
        </w:rPr>
      </w:pPr>
      <w:r>
        <w:rPr>
          <w:i/>
          <w:iCs/>
          <w:highlight w:val="magenta"/>
        </w:rPr>
        <w:t>En rose les paragraphes applicables en cas de gestion déléguée</w:t>
      </w:r>
    </w:p>
    <w:p>
      <w:pPr>
        <w:pStyle w:val="Normal"/>
        <w:pBdr>
          <w:top w:val="single" w:sz="4" w:space="1" w:color="000000"/>
          <w:left w:val="single" w:sz="4" w:space="4" w:color="000000"/>
          <w:bottom w:val="single" w:sz="4" w:space="1" w:color="000000"/>
          <w:right w:val="single" w:sz="4" w:space="4" w:color="000000"/>
        </w:pBdr>
        <w:rPr>
          <w:i/>
          <w:i/>
          <w:iCs/>
        </w:rPr>
      </w:pPr>
      <w:r>
        <w:rPr>
          <w:i/>
          <w:iCs/>
          <w:highlight w:val="red"/>
        </w:rPr>
        <w:t>EN rouge les paragraphes applicables quand l’assainissement est facturé avec l’eau potable, par une autre personne (publique ou privée) que la collectivité compétente en assainissement (traitement des eaux usées ;</w:t>
      </w:r>
    </w:p>
    <w:p>
      <w:pPr>
        <w:pStyle w:val="Normal"/>
        <w:rPr>
          <w:color w:val="000000" w:themeColor="text1"/>
        </w:rPr>
      </w:pPr>
      <w:r>
        <w:rPr>
          <w:color w:val="000000" w:themeColor="text1"/>
        </w:rPr>
      </w:r>
    </w:p>
    <w:p>
      <w:pPr>
        <w:pStyle w:val="Normal"/>
        <w:rPr/>
      </w:pPr>
      <w:r>
        <w:rPr>
          <w:color w:val="000000" w:themeColor="text1"/>
          <w:highlight w:val="yellow"/>
        </w:rPr>
        <w:t>Le Comité syndical / Conseil communautaire / conseil métropolitain / conseil municipal</w:t>
      </w:r>
      <w:r>
        <w:rPr>
          <w:color w:val="000000" w:themeColor="text1"/>
        </w:rPr>
        <w:t xml:space="preserve"> </w:t>
      </w:r>
      <w:r>
        <w:rPr>
          <w:highlight w:val="yellow"/>
        </w:rPr>
        <w:t xml:space="preserve">/ conseil d’administration </w:t>
      </w:r>
    </w:p>
    <w:p>
      <w:pPr>
        <w:pStyle w:val="Normal"/>
        <w:ind w:hanging="2"/>
        <w:jc w:val="both"/>
        <w:rPr>
          <w:rFonts w:ascii="Calibri" w:hAnsi="Calibri" w:eastAsia="Calibri" w:cs="Calibri"/>
          <w:color w:val="000000" w:themeColor="text1"/>
        </w:rPr>
      </w:pPr>
      <w:bookmarkStart w:id="0" w:name="_Hlk179977629"/>
      <w:r>
        <w:rPr>
          <w:rFonts w:eastAsia="Calibri" w:cs="Calibri"/>
          <w:bCs/>
          <w:color w:val="000000" w:themeColor="text1"/>
        </w:rPr>
        <w:t>Vu</w:t>
      </w:r>
      <w:r>
        <w:rPr>
          <w:rFonts w:eastAsia="Calibri" w:cs="Calibri"/>
          <w:color w:val="000000" w:themeColor="text1"/>
        </w:rPr>
        <w:t xml:space="preserve"> le Code Général des Collectivités Territoriales, notamment ses articles L2224-12-2 à L2224-12-4 ;</w:t>
      </w:r>
      <w:bookmarkEnd w:id="0"/>
    </w:p>
    <w:p>
      <w:pPr>
        <w:pStyle w:val="Normal"/>
        <w:rPr>
          <w:color w:val="000000" w:themeColor="text1"/>
        </w:rPr>
      </w:pPr>
      <w:r>
        <w:rPr>
          <w:color w:val="000000" w:themeColor="text1"/>
        </w:rPr>
        <w:t>Vu le Code de l’environnement, et notamment ses articles L213-10-6, et articles D213-48-12-8 à -13, et D213-48-35-2 dans leur version applicable à compter du 1</w:t>
      </w:r>
      <w:r>
        <w:rPr>
          <w:color w:val="000000" w:themeColor="text1"/>
          <w:vertAlign w:val="superscript"/>
        </w:rPr>
        <w:t>er</w:t>
      </w:r>
      <w:r>
        <w:rPr>
          <w:color w:val="000000" w:themeColor="text1"/>
        </w:rPr>
        <w:t xml:space="preserve"> janvier 2025</w:t>
      </w:r>
    </w:p>
    <w:p>
      <w:pPr>
        <w:pStyle w:val="Normal"/>
        <w:rPr/>
      </w:pPr>
      <w:r>
        <w:rPr/>
        <w:t>Vu l’arrêté du 5 juillet 2024 relatif aux modalités d'établissement de la redevance sur la consommation d'eau potable et des redevances pour la performance des réseaux d'eau potable et pour la performance des systèmes d'assainissement collectif,</w:t>
      </w:r>
    </w:p>
    <w:p>
      <w:pPr>
        <w:pStyle w:val="Normal"/>
        <w:rPr/>
      </w:pPr>
      <w:r>
        <w:rPr/>
        <w:t>Vu l’arrêté du 5 juillet 2024 relatif au montant forfaitaire maximal de la redevance pour la performance des réseaux d'eau potable et de la redevance pour la performance des systèmes d'assainissement collectif pris en compte pour l'application de la redevance d'eau potable et d'assainissement prévue à l'article L2224-12-3 du code général des collectivités territoriales,</w:t>
      </w:r>
    </w:p>
    <w:p>
      <w:pPr>
        <w:pStyle w:val="Normal"/>
        <w:rPr/>
      </w:pPr>
      <w:r>
        <w:rPr/>
        <w:t>Vu l’arrêté du 10 juillet 1996 relatif aux factures de distribution de l'eau et de collecte et de traitement des eaux usées modifié, dans sa version applicable au 1</w:t>
      </w:r>
      <w:r>
        <w:rPr>
          <w:vertAlign w:val="superscript"/>
        </w:rPr>
        <w:t>er</w:t>
      </w:r>
      <w:r>
        <w:rPr/>
        <w:t xml:space="preserve"> janvier 2025</w:t>
      </w:r>
    </w:p>
    <w:p>
      <w:pPr>
        <w:pStyle w:val="Normal"/>
        <w:pBdr/>
        <w:spacing w:lineRule="auto" w:line="240"/>
        <w:ind w:hanging="2"/>
        <w:jc w:val="both"/>
        <w:rPr>
          <w:rFonts w:ascii="Calibri" w:hAnsi="Calibri" w:eastAsia="Calibri" w:cs="Calibri"/>
        </w:rPr>
      </w:pPr>
      <w:bookmarkStart w:id="1" w:name="_Hlk179977656"/>
      <w:r>
        <w:rPr>
          <w:rFonts w:eastAsia="Calibri" w:cs="Calibri"/>
          <w:bCs/>
        </w:rPr>
        <w:t xml:space="preserve">Vu </w:t>
      </w:r>
      <w:bookmarkStart w:id="2" w:name="_Hlk179973774"/>
      <w:r>
        <w:rPr>
          <w:rFonts w:eastAsia="Calibri" w:cs="Calibri"/>
        </w:rPr>
        <w:t>la délibération n</w:t>
      </w:r>
      <w:r>
        <w:rPr>
          <w:rFonts w:eastAsia="Calibri" w:cs="Calibri"/>
          <w:highlight w:val="yellow"/>
        </w:rPr>
        <w:t>°2024-XXXX du XXXX 2024</w:t>
      </w:r>
      <w:r>
        <w:rPr>
          <w:rFonts w:eastAsia="Calibri" w:cs="Calibri"/>
        </w:rPr>
        <w:t xml:space="preserve"> du conseil d'administration de l’Agence de l’eau </w:t>
      </w:r>
      <w:r>
        <w:rPr>
          <w:rFonts w:eastAsia="Calibri" w:cs="Calibri"/>
          <w:highlight w:val="yellow"/>
        </w:rPr>
        <w:t>XXX</w:t>
      </w:r>
      <w:r>
        <w:rPr>
          <w:rFonts w:eastAsia="Calibri" w:cs="Calibri"/>
        </w:rPr>
        <w:t xml:space="preserve"> portant sur le projet de taux de redevances des années 2025 à 2030 et saisine des comités de bassin pour avis conforme et notamment ses articles 2.4 et 2.5, </w:t>
      </w:r>
      <w:bookmarkEnd w:id="2"/>
    </w:p>
    <w:p>
      <w:pPr>
        <w:pStyle w:val="Normal"/>
        <w:shd w:val="clear" w:color="auto" w:fill="FFFFFF"/>
        <w:spacing w:lineRule="auto" w:line="240"/>
        <w:ind w:hanging="2"/>
        <w:jc w:val="both"/>
        <w:rPr>
          <w:rFonts w:ascii="Calibri" w:hAnsi="Calibri" w:eastAsia="Calibri" w:cs="Calibri"/>
          <w:highlight w:val="magenta"/>
        </w:rPr>
      </w:pPr>
      <w:r>
        <w:rPr>
          <w:rFonts w:eastAsia="Calibri" w:cs="Calibri"/>
          <w:bCs/>
          <w:highlight w:val="magenta"/>
        </w:rPr>
        <w:t>Vu</w:t>
      </w:r>
      <w:r>
        <w:rPr>
          <w:rFonts w:eastAsia="Calibri" w:cs="Calibri"/>
          <w:b/>
          <w:highlight w:val="magenta"/>
        </w:rPr>
        <w:t xml:space="preserve"> </w:t>
      </w:r>
      <w:r>
        <w:rPr>
          <w:rFonts w:eastAsia="Calibri" w:cs="Calibri"/>
          <w:highlight w:val="magenta"/>
        </w:rPr>
        <w:t xml:space="preserve">le contrat de délégation de service public pour la gestion du service d’assainissement passé entre </w:t>
      </w:r>
      <w:r>
        <w:rPr>
          <w:rFonts w:eastAsia="Calibri" w:cs="Calibri"/>
          <w:highlight w:val="yellow"/>
        </w:rPr>
        <w:t xml:space="preserve">XXX et YYYY entré en vigueur le XXX </w:t>
      </w:r>
      <w:r>
        <w:rPr>
          <w:rFonts w:eastAsia="Calibri" w:cs="Calibri"/>
          <w:highlight w:val="magenta"/>
        </w:rPr>
        <w:t xml:space="preserve">et notamment son article </w:t>
      </w:r>
      <w:r>
        <w:rPr>
          <w:rFonts w:eastAsia="Calibri" w:cs="Calibri"/>
          <w:highlight w:val="yellow"/>
        </w:rPr>
        <w:t xml:space="preserve">XXX </w:t>
      </w:r>
      <w:r>
        <w:rPr>
          <w:rFonts w:eastAsia="Calibri" w:cs="Calibri"/>
          <w:highlight w:val="magenta"/>
        </w:rPr>
        <w:t>(relatif au recouvrement et au reversement de la part collectivité de la redevance assainissement) ;</w:t>
      </w:r>
    </w:p>
    <w:p>
      <w:pPr>
        <w:pStyle w:val="Normal"/>
        <w:rPr>
          <w:rFonts w:ascii="Calibri" w:hAnsi="Calibri" w:eastAsia="Calibri" w:cs="Calibri"/>
        </w:rPr>
      </w:pPr>
      <w:r>
        <w:rPr>
          <w:rFonts w:eastAsia="Calibri" w:cs="Calibri"/>
          <w:bCs/>
          <w:highlight w:val="red"/>
        </w:rPr>
        <w:t>Vu</w:t>
      </w:r>
      <w:r>
        <w:rPr>
          <w:rFonts w:eastAsia="Calibri" w:cs="Calibri"/>
          <w:highlight w:val="red"/>
        </w:rPr>
        <w:t xml:space="preserve"> la convention de mandat en date </w:t>
      </w:r>
      <w:r>
        <w:rPr>
          <w:rFonts w:eastAsia="Calibri" w:cs="Calibri"/>
          <w:highlight w:val="yellow"/>
        </w:rPr>
        <w:t xml:space="preserve">du XXXX </w:t>
      </w:r>
      <w:r>
        <w:rPr>
          <w:rFonts w:eastAsia="Calibri" w:cs="Calibri"/>
          <w:highlight w:val="red"/>
        </w:rPr>
        <w:t>conclue entre</w:t>
      </w:r>
      <w:r>
        <w:rPr>
          <w:rFonts w:eastAsia="Calibri" w:cs="Calibri"/>
        </w:rPr>
        <w:t xml:space="preserve"> </w:t>
      </w:r>
      <w:r>
        <w:rPr>
          <w:rFonts w:eastAsia="Calibri" w:cs="Calibri"/>
          <w:highlight w:val="yellow"/>
        </w:rPr>
        <w:t xml:space="preserve">XXXXXX </w:t>
      </w:r>
      <w:r>
        <w:rPr>
          <w:rFonts w:eastAsia="Calibri" w:cs="Calibri"/>
          <w:highlight w:val="red"/>
        </w:rPr>
        <w:t>et</w:t>
      </w:r>
      <w:r>
        <w:rPr>
          <w:rFonts w:eastAsia="Calibri" w:cs="Calibri"/>
        </w:rPr>
        <w:t xml:space="preserve"> </w:t>
      </w:r>
      <w:r>
        <w:rPr>
          <w:rFonts w:eastAsia="Calibri" w:cs="Calibri"/>
          <w:highlight w:val="yellow"/>
        </w:rPr>
        <w:t>ZZZZZ [personne publique ou privée]</w:t>
      </w:r>
      <w:r>
        <w:rPr>
          <w:rFonts w:eastAsia="Calibri" w:cs="Calibri"/>
        </w:rPr>
        <w:t xml:space="preserve"> </w:t>
      </w:r>
      <w:r>
        <w:rPr>
          <w:rFonts w:eastAsia="Calibri" w:cs="Calibri"/>
          <w:highlight w:val="red"/>
        </w:rPr>
        <w:t xml:space="preserve">sur le fondement de l’article L. 1611-7-1 du Code Général des Collectivités Territoriales pour l’encaissement et le reversement de la </w:t>
      </w:r>
      <w:r>
        <w:rPr>
          <w:rFonts w:eastAsia="Calibri" w:cs="Calibri"/>
          <w:highlight w:val="yellow"/>
        </w:rPr>
        <w:t xml:space="preserve">redevance assainissement / part collectivité de la redevance assainissement </w:t>
      </w:r>
      <w:r>
        <w:rPr>
          <w:rFonts w:eastAsia="Calibri" w:cs="Calibri"/>
          <w:highlight w:val="red"/>
        </w:rPr>
        <w:t xml:space="preserve">par </w:t>
      </w:r>
      <w:r>
        <w:rPr>
          <w:rFonts w:eastAsia="Calibri" w:cs="Calibri"/>
          <w:highlight w:val="yellow"/>
        </w:rPr>
        <w:t xml:space="preserve">ZZZZZ  </w:t>
      </w:r>
      <w:r>
        <w:rPr>
          <w:rFonts w:eastAsia="Calibri" w:cs="Calibri"/>
          <w:highlight w:val="red"/>
        </w:rPr>
        <w:t xml:space="preserve">qui facture conjointement l’eau et l’assainissement, ainsi que l’instruction du 9 février 2017 relative aux mandats passés par les collectivités territoriales, leurs établissements publics et leurs groupements destinés à l'exécution de certaines de leurs recettes et de leurs dépenses, publiée au </w:t>
      </w:r>
      <w:r>
        <w:rPr>
          <w:rFonts w:eastAsia="Calibri" w:cs="Calibri"/>
          <w:caps/>
          <w:highlight w:val="red"/>
        </w:rPr>
        <w:t>bofip</w:t>
      </w:r>
      <w:r>
        <w:rPr>
          <w:rFonts w:eastAsia="Calibri" w:cs="Calibri"/>
          <w:highlight w:val="red"/>
        </w:rPr>
        <w:t>-</w:t>
      </w:r>
      <w:r>
        <w:rPr>
          <w:rFonts w:eastAsia="Calibri" w:cs="Calibri"/>
          <w:caps/>
          <w:highlight w:val="red"/>
        </w:rPr>
        <w:t>gcp</w:t>
      </w:r>
      <w:r>
        <w:rPr>
          <w:rFonts w:eastAsia="Calibri" w:cs="Calibri"/>
          <w:highlight w:val="red"/>
        </w:rPr>
        <w:t>-17-0005 du 22 février 2017 (NOR : ECFE1704988J).</w:t>
      </w:r>
      <w:bookmarkEnd w:id="1"/>
    </w:p>
    <w:p>
      <w:pPr>
        <w:pStyle w:val="Normal"/>
        <w:rPr/>
      </w:pPr>
      <w:r>
        <w:rPr/>
        <w:t>Considérant que la redevance prélèvement est maintenue mais que les redevances pour pollution d’origine domestique et modernisations des réseaux de collecte sont remplacées à compter du 1</w:t>
      </w:r>
      <w:r>
        <w:rPr>
          <w:vertAlign w:val="superscript"/>
        </w:rPr>
        <w:t>er</w:t>
      </w:r>
      <w:r>
        <w:rPr/>
        <w:t xml:space="preserve"> janvier 2025 par :</w:t>
      </w:r>
    </w:p>
    <w:p>
      <w:pPr>
        <w:pStyle w:val="Normal"/>
        <w:ind w:left="284" w:hanging="0"/>
        <w:rPr/>
      </w:pPr>
      <w:r>
        <w:rPr/>
        <w:t xml:space="preserve">une redevance de « consommation d’eau potable », facturée à l’abonné à l’eau potable (exceptées les consommations destinées aux activités d’élevage si elles font l’objet d’un comptage spécifique) et recouvrée par la personne qui facture les redevances du service public de distribution d’eau dont les sommes encaissées sont reversées à l’agence de l’eau selon les mêmes modalités que celles qui étaient applicables à la redevance pour pollution de l’eau d’origine domestique. </w:t>
      </w:r>
    </w:p>
    <w:p>
      <w:pPr>
        <w:pStyle w:val="ListParagraph"/>
        <w:numPr>
          <w:ilvl w:val="0"/>
          <w:numId w:val="1"/>
        </w:numPr>
        <w:spacing w:before="0" w:after="160"/>
        <w:ind w:left="284" w:hanging="142"/>
        <w:contextualSpacing w:val="false"/>
        <w:rPr/>
      </w:pPr>
      <w:r>
        <w:rPr/>
        <w:t xml:space="preserve">et de deux redevances pour performance « des réseaux d’eau potable » d’une part et des « systèmes d’assainissement collectif » d’autre part. </w:t>
      </w:r>
    </w:p>
    <w:p>
      <w:pPr>
        <w:pStyle w:val="Normal"/>
        <w:rPr/>
      </w:pPr>
      <w:r>
        <w:rPr/>
        <w:t xml:space="preserve">Concernant la redevance pour « performance des systèmes d’assainissement collectif » : </w:t>
      </w:r>
    </w:p>
    <w:p>
      <w:pPr>
        <w:pStyle w:val="ListParagraph"/>
        <w:numPr>
          <w:ilvl w:val="1"/>
          <w:numId w:val="2"/>
        </w:numPr>
        <w:ind w:left="567" w:hanging="141"/>
        <w:rPr/>
      </w:pPr>
      <w:r>
        <w:rPr/>
        <w:t>Elle est facturée par l’agence de l’eau aux communes ou leurs établissements publics compétents pour le traitement des eaux usées (maître d’ouvrage des stations d’épuration) qui en sont les redevables ;</w:t>
      </w:r>
    </w:p>
    <w:p>
      <w:pPr>
        <w:pStyle w:val="ListParagraph"/>
        <w:numPr>
          <w:ilvl w:val="1"/>
          <w:numId w:val="2"/>
        </w:numPr>
        <w:spacing w:before="0" w:after="160"/>
        <w:ind w:left="567" w:hanging="141"/>
        <w:contextualSpacing w:val="false"/>
        <w:rPr/>
      </w:pPr>
      <w:r>
        <w:rPr/>
        <w:t xml:space="preserve">Le tarif de base est fixé par l’agence de l’eau </w:t>
      </w:r>
      <w:r>
        <w:rPr>
          <w:highlight w:val="yellow"/>
        </w:rPr>
        <w:t>XXX</w:t>
      </w:r>
      <w:r>
        <w:rPr/>
        <w:t> ;</w:t>
      </w:r>
    </w:p>
    <w:p>
      <w:pPr>
        <w:pStyle w:val="ListParagraph"/>
        <w:numPr>
          <w:ilvl w:val="1"/>
          <w:numId w:val="2"/>
        </w:numPr>
        <w:spacing w:before="0" w:after="160"/>
        <w:ind w:left="567" w:hanging="141"/>
        <w:contextualSpacing w:val="false"/>
        <w:rPr/>
      </w:pPr>
      <w:r>
        <w:rPr/>
        <w:t xml:space="preserve">Le tarif applicable est modulé en fonction de la performance du ou des systèmes d’assainissement collectif (station d’épuration et l’ensemble du système de collecte des eaux usées raccordé à cette station d’épuration) de la collectivité compétente pour le traitement des eaux usées (maître d’ouvrage de la ou des stations d’épuration) ; </w:t>
        <w:br/>
        <w:t xml:space="preserve">il égal au tarif de base multiplié par un coefficient de modulation compris entre 0,3 (objectif de performance maximale atteint) et 1 (objectif de performance minimale non atteint, pas d’abattement de la redevance). </w:t>
      </w:r>
    </w:p>
    <w:p>
      <w:pPr>
        <w:pStyle w:val="ListParagraph"/>
        <w:numPr>
          <w:ilvl w:val="1"/>
          <w:numId w:val="2"/>
        </w:numPr>
        <w:spacing w:before="0" w:after="160"/>
        <w:ind w:left="567" w:hanging="141"/>
        <w:contextualSpacing w:val="false"/>
        <w:rPr/>
      </w:pPr>
      <w:r>
        <w:rPr/>
        <w:t>l’assiette de cette redevance est constituée par les volumes facturés durant l’année civile</w:t>
      </w:r>
    </w:p>
    <w:p>
      <w:pPr>
        <w:pStyle w:val="ListParagraph"/>
        <w:numPr>
          <w:ilvl w:val="1"/>
          <w:numId w:val="2"/>
        </w:numPr>
        <w:spacing w:before="0" w:after="160"/>
        <w:ind w:left="567" w:hanging="141"/>
        <w:contextualSpacing w:val="false"/>
        <w:rPr/>
      </w:pPr>
      <w:r>
        <w:rPr/>
        <w:t xml:space="preserve">L’Agence de l’eau facture la redevance à la collectivité au cours de l'année civile qui suit </w:t>
      </w:r>
    </w:p>
    <w:p>
      <w:pPr>
        <w:pStyle w:val="Normal"/>
        <w:rPr/>
      </w:pPr>
      <w:r>
        <w:rPr/>
        <w:t>La redevance est répercutée par anticipation sur chaque usager du service public de l’assainissement collectif sous la forme d'un supplément au prix du mètre cube d'eau assujetti à la redevance assainissement et doit faire l’objet d’une individualisation sur la facture d’assainissement ;</w:t>
      </w:r>
    </w:p>
    <w:p>
      <w:pPr>
        <w:pStyle w:val="Normal"/>
        <w:rPr/>
      </w:pPr>
      <w:r>
        <w:rPr/>
        <w:t xml:space="preserve">Considérant que l’Agence de l’eau </w:t>
      </w:r>
      <w:r>
        <w:rPr>
          <w:highlight w:val="yellow"/>
        </w:rPr>
        <w:t xml:space="preserve">XXX </w:t>
      </w:r>
      <w:r>
        <w:rPr/>
        <w:t xml:space="preserve">a fixé à </w:t>
      </w:r>
      <w:r>
        <w:rPr>
          <w:highlight w:val="yellow"/>
        </w:rPr>
        <w:t>0,XX</w:t>
      </w:r>
      <w:r>
        <w:rPr/>
        <w:t> €HT par mètre cube le tarif de base de la redevance « performance des systèmes d’assainissement collectif » pour l’année XXX</w:t>
      </w:r>
    </w:p>
    <w:p>
      <w:pPr>
        <w:pStyle w:val="Normal"/>
        <w:rPr/>
      </w:pPr>
      <w:r>
        <w:rPr/>
        <w:t xml:space="preserve">Considérant que pour l’année 2025, le taux de modulation est fixé forfaitairement </w:t>
      </w:r>
      <w:r>
        <w:rPr>
          <w:b/>
          <w:bCs/>
        </w:rPr>
        <w:t>0,3</w:t>
      </w:r>
      <w:r>
        <w:rPr/>
        <w:t xml:space="preserve"> pour la redevance performance des « systèmes d’assainissement collectif » (la performance des systèmes d’assainissement n’étant pas prise en compte pour cette première année)</w:t>
      </w:r>
    </w:p>
    <w:p>
      <w:pPr>
        <w:pStyle w:val="Normal"/>
        <w:rPr/>
      </w:pPr>
      <w:r>
        <w:rPr/>
        <w:t xml:space="preserve">Considérant qu’il convient de fixer le tarif de la contrevaleur pour la redevance pour performance de systèmes d’assainissement, qui </w:t>
      </w:r>
      <w:r>
        <w:rPr>
          <w:rFonts w:eastAsia="Calibri" w:cs="Calibri"/>
        </w:rPr>
        <w:t>doit être répercutée sur chaque usager du service public d'assainissement collectif sous la forme d'un supplément au prix du mètre cube d'eau assainie</w:t>
      </w:r>
    </w:p>
    <w:p>
      <w:pPr>
        <w:pStyle w:val="Normal"/>
        <w:shd w:val="clear" w:color="auto" w:fill="FFFFFF"/>
        <w:spacing w:lineRule="auto" w:line="276"/>
        <w:ind w:hanging="2"/>
        <w:jc w:val="both"/>
        <w:rPr>
          <w:rFonts w:ascii="Calibri" w:hAnsi="Calibri" w:eastAsia="Calibri" w:cs="Calibri"/>
        </w:rPr>
      </w:pPr>
      <w:r>
        <w:rPr>
          <w:rFonts w:eastAsia="Calibri" w:cs="Calibri"/>
          <w:b/>
          <w:i/>
          <w:highlight w:val="red"/>
        </w:rPr>
        <w:t>Considérant</w:t>
      </w:r>
      <w:r>
        <w:rPr>
          <w:rFonts w:eastAsia="Calibri" w:cs="Calibri"/>
          <w:b/>
          <w:highlight w:val="red"/>
        </w:rPr>
        <w:t xml:space="preserve"> </w:t>
      </w:r>
      <w:r>
        <w:rPr>
          <w:rFonts w:eastAsia="Calibri" w:cs="Calibri"/>
          <w:highlight w:val="red"/>
        </w:rPr>
        <w:t xml:space="preserve">qu’il appartient à </w:t>
      </w:r>
      <w:r>
        <w:rPr>
          <w:rFonts w:eastAsia="Calibri" w:cs="Calibri"/>
          <w:highlight w:val="yellow"/>
        </w:rPr>
        <w:t xml:space="preserve">XXXX (entité en charge du recouvrement de la redevance d’assainissement collectif) </w:t>
      </w:r>
      <w:r>
        <w:rPr>
          <w:rFonts w:eastAsia="Calibri" w:cs="Calibri"/>
          <w:highlight w:val="red"/>
        </w:rPr>
        <w:t xml:space="preserve">de facturer et d’encaisser auprès des usagers ce supplément au prix du mètre cube d'eau assainie et de reverser à </w:t>
      </w:r>
      <w:r>
        <w:rPr>
          <w:rFonts w:eastAsia="Calibri" w:cs="Calibri"/>
          <w:highlight w:val="yellow"/>
        </w:rPr>
        <w:t xml:space="preserve">la commune / communauté de communes / communauté d’agglomération / métropole / le Syndicat </w:t>
      </w:r>
      <w:r>
        <w:rPr>
          <w:rFonts w:eastAsia="Calibri" w:cs="Calibri"/>
          <w:highlight w:val="red"/>
        </w:rPr>
        <w:t>les sommes encaissées à ce titre dans le cadre du contrat et du mandat d’encaissement ;</w:t>
      </w:r>
    </w:p>
    <w:p>
      <w:pPr>
        <w:pStyle w:val="Normal"/>
        <w:rPr/>
      </w:pPr>
      <w:r>
        <w:rPr/>
        <w:t xml:space="preserve">Considérant que le supplément de prix « redevance pour la performance des système d’assainissement » constitue un élément du prix du service public de l’assainissement collectif doit donc être assujetti à la TVA au taux de </w:t>
      </w:r>
      <w:r>
        <w:rPr>
          <w:highlight w:val="yellow"/>
        </w:rPr>
        <w:t>10% (métropole) ou 2,1% (Corse, Guadeloupe, Martinique et Réunion) [sans objet en Guyane car pas de TVA]</w:t>
      </w:r>
    </w:p>
    <w:p>
      <w:pPr>
        <w:pStyle w:val="Normal"/>
        <w:rPr/>
      </w:pPr>
      <w:r>
        <w:rPr>
          <w:highlight w:val="magenta"/>
        </w:rPr>
        <w:t>Considérant que, conformément aux instructions de la Direction de la législation fiscale, le reversement à la collectivité des sommes encaissées par le concessionnaire au titre de ce suppménet de prix « </w:t>
      </w:r>
      <w:r>
        <w:rPr>
          <w:rFonts w:eastAsia="Times New Roman"/>
          <w:i/>
          <w:iCs/>
          <w:highlight w:val="magenta"/>
        </w:rPr>
        <w:t> intègre nécessairement l'assiette de la TVA en tant qu'élément du prix du service de mise à disposition des infrastructures délivré par la commune ou l'établissement public au délégataire privé », il doit être assujetti comme le reversement de la « part collectivité » au taux normal de TVA de</w:t>
      </w:r>
      <w:r>
        <w:rPr>
          <w:rFonts w:eastAsia="Times New Roman"/>
          <w:i/>
          <w:iCs/>
        </w:rPr>
        <w:t xml:space="preserve"> </w:t>
      </w:r>
      <w:r>
        <w:rPr>
          <w:rFonts w:eastAsia="Times New Roman"/>
          <w:i/>
          <w:iCs/>
          <w:highlight w:val="yellow"/>
        </w:rPr>
        <w:t>20% (métropole)</w:t>
      </w:r>
      <w:r>
        <w:rPr>
          <w:highlight w:val="yellow"/>
        </w:rPr>
        <w:t xml:space="preserve"> ou 10% (Corse) ou 8,5% (Guadeloupe, Martinique et Réunion) [sans objet en Guyane car pas de TVA]</w:t>
      </w:r>
    </w:p>
    <w:p>
      <w:pPr>
        <w:pStyle w:val="Normal"/>
        <w:rPr/>
      </w:pPr>
      <w:r>
        <w:rPr/>
      </w:r>
    </w:p>
    <w:p>
      <w:pPr>
        <w:pStyle w:val="Normal"/>
        <w:rPr/>
      </w:pPr>
      <w:r>
        <w:rPr/>
      </w:r>
    </w:p>
    <w:p>
      <w:pPr>
        <w:pStyle w:val="Normal"/>
        <w:rPr>
          <w:iCs/>
        </w:rPr>
      </w:pPr>
      <w:r>
        <w:rPr>
          <w:iCs/>
        </w:rPr>
        <w:t>Après en avoir délibéré et procédé au vote ;</w:t>
      </w:r>
    </w:p>
    <w:p>
      <w:pPr>
        <w:pStyle w:val="Normal"/>
        <w:jc w:val="center"/>
        <w:rPr>
          <w:iCs/>
        </w:rPr>
      </w:pPr>
      <w:r>
        <w:rPr>
          <w:iCs/>
        </w:rPr>
      </w:r>
    </w:p>
    <w:p>
      <w:pPr>
        <w:pStyle w:val="Normal"/>
        <w:jc w:val="center"/>
        <w:rPr>
          <w:b/>
          <w:bCs/>
          <w:iCs/>
        </w:rPr>
      </w:pPr>
      <w:r>
        <w:rPr>
          <w:b/>
          <w:bCs/>
          <w:iCs/>
        </w:rPr>
      </w:r>
    </w:p>
    <w:p>
      <w:pPr>
        <w:pStyle w:val="Normal"/>
        <w:jc w:val="center"/>
        <w:rPr>
          <w:iCs/>
        </w:rPr>
      </w:pPr>
      <w:r>
        <w:rPr>
          <w:b/>
          <w:bCs/>
          <w:iCs/>
        </w:rPr>
        <w:t>Décide</w:t>
      </w:r>
      <w:r>
        <w:rPr>
          <w:iCs/>
        </w:rPr>
        <w:t> :</w:t>
      </w:r>
    </w:p>
    <w:p>
      <w:pPr>
        <w:pStyle w:val="ListParagraph"/>
        <w:numPr>
          <w:ilvl w:val="0"/>
          <w:numId w:val="1"/>
        </w:numPr>
        <w:spacing w:before="0" w:after="160"/>
        <w:ind w:left="284" w:hanging="142"/>
        <w:contextualSpacing w:val="false"/>
        <w:rPr>
          <w:color w:val="000000" w:themeColor="text1"/>
        </w:rPr>
      </w:pPr>
      <w:r>
        <w:rPr/>
        <w:t xml:space="preserve">De fixer à </w:t>
      </w:r>
      <w:r>
        <w:rPr>
          <w:highlight w:val="yellow"/>
        </w:rPr>
        <w:t>0,XXX €HT /m</w:t>
      </w:r>
      <w:r>
        <w:rPr>
          <w:highlight w:val="yellow"/>
          <w:vertAlign w:val="superscript"/>
        </w:rPr>
        <w:t>3</w:t>
      </w:r>
      <w:r>
        <w:rPr/>
        <w:t xml:space="preserve"> la contre-valeur correspondant à la « redevance pour performance des systèmes d’assainissement collectif »</w:t>
      </w:r>
      <w:r>
        <w:rPr>
          <w:rFonts w:eastAsia="Calibri" w:cs="Calibri"/>
        </w:rPr>
        <w:t xml:space="preserve"> devant être répercutée sur chaque usager du service public d'assainissement collectif sous la forme d'un supplément au prix du mètre cube d'eau assaini</w:t>
      </w:r>
      <w:r>
        <w:rPr/>
        <w:t>, applicable à compter du 1</w:t>
      </w:r>
      <w:r>
        <w:rPr>
          <w:vertAlign w:val="superscript"/>
        </w:rPr>
        <w:t>er</w:t>
      </w:r>
      <w:r>
        <w:rPr/>
        <w:t xml:space="preserve"> </w:t>
      </w:r>
      <w:r>
        <w:rPr>
          <w:color w:val="000000" w:themeColor="text1"/>
        </w:rPr>
        <w:t xml:space="preserve">janvier 2025 </w:t>
      </w:r>
    </w:p>
    <w:p>
      <w:pPr>
        <w:pStyle w:val="ListParagraph"/>
        <w:numPr>
          <w:ilvl w:val="0"/>
          <w:numId w:val="1"/>
        </w:numPr>
        <w:spacing w:before="0" w:after="160"/>
        <w:ind w:left="284" w:hanging="142"/>
        <w:contextualSpacing w:val="false"/>
        <w:rPr>
          <w:color w:val="000000" w:themeColor="text1"/>
          <w:highlight w:val="red"/>
        </w:rPr>
      </w:pPr>
      <w:r>
        <w:rPr>
          <w:color w:val="000000" w:themeColor="text1"/>
          <w:highlight w:val="red"/>
        </w:rPr>
        <w:t xml:space="preserve">Que cette contrevaleur de la « redevance pour performance des réseaux d’assainissement collectif » est facturée et encaissée auprès des usagers du service public de l’assainissement collectif et reversée à </w:t>
      </w:r>
      <w:r>
        <w:rPr>
          <w:color w:val="000000" w:themeColor="text1"/>
          <w:highlight w:val="yellow"/>
        </w:rPr>
        <w:t>la commune / communauté de communes / communauté d’agglomération / communauté urbaine / métropole / au syndicat ,</w:t>
      </w:r>
      <w:r>
        <w:rPr>
          <w:color w:val="000000" w:themeColor="text1"/>
          <w:highlight w:val="red"/>
        </w:rPr>
        <w:t xml:space="preserve"> au titre de sa compétence pour le traitement des eaux usées, selon les modalités déterminées dans la convention du mandat d’encaissement.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 w:name="Titillium">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668668704" o:spid="shape_0" fillcolor="silver" stroked="f" o:allowincell="f" style="position:absolute;margin-left:-12.1pt;margin-top:129.9pt;width:426.3pt;height:142.05pt;mso-wrap-style:none;v-text-anchor:middle;rotation:315;mso-position-horizontal:center;mso-position-horizontal-relative:margin;mso-position-vertical:center;mso-position-vertical-relative:margin" type="_x0000_t136">
          <v:path textpathok="t"/>
          <v:textpath on="t" fitshape="t" string="PROJET"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pict>
        <v:shape id="PowerPlusWaterMarkObject668668705" o:spid="shape_0" fillcolor="silver" stroked="f" o:allowincell="f" style="position:absolute;margin-left:13.6pt;margin-top:293.15pt;width:426.3pt;height:142.05pt;mso-wrap-style:none;v-text-anchor:middle;rotation:315;mso-position-horizontal:center;mso-position-horizontal-relative:margin;mso-position-vertical:center;mso-position-vertical-relative:margin" type="_x0000_t136">
          <v:path textpathok="t"/>
          <v:textpath on="t" fitshape="t" string="PROJET" trim="t" style="font-family:&quot;Calibri&quot;;font-size:1pt"/>
          <v:fill o:detectmouseclick="t" type="solid" color2="#3f3f3f" opacity="0.5"/>
          <v:stroke color="#3465a4" joinstyle="round" endcap="flat"/>
          <w10:wrap type="none"/>
        </v:shape>
      </w:pict>
    </w:r>
    <w:r>
      <w:rPr/>
      <w:t>Production du GT coordonné par FNCCR-DEB   V 22/11/2024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pict>
        <v:shape id="PowerPlusWaterMarkObject668668705" o:spid="shape_0" fillcolor="silver" stroked="f" o:allowincell="f" style="position:absolute;margin-left:13.6pt;margin-top:293.15pt;width:426.3pt;height:142.05pt;mso-wrap-style:none;v-text-anchor:middle;rotation:315;mso-position-horizontal:center;mso-position-horizontal-relative:margin;mso-position-vertical:center;mso-position-vertical-relative:margin" type="_x0000_t136">
          <v:path textpathok="t"/>
          <v:textpath on="t" fitshape="t" string="PROJET" trim="t" style="font-family:&quot;Calibri&quot;;font-size:1pt"/>
          <v:fill o:detectmouseclick="t" type="solid" color2="#3f3f3f" opacity="0.5"/>
          <v:stroke color="#3465a4" joinstyle="round" endcap="flat"/>
          <w10:wrap type="none"/>
        </v:shape>
      </w:pict>
    </w:r>
    <w:r>
      <w:rPr/>
      <w:t>Production du GT coordonné par FNCCR-DEB   V 22/11/2024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
      <w:lvlJc w:val="left"/>
      <w:pPr>
        <w:tabs>
          <w:tab w:val="num" w:pos="0"/>
        </w:tabs>
        <w:ind w:left="8440" w:hanging="360"/>
      </w:pPr>
      <w:rPr>
        <w:rFonts w:ascii="Titillium" w:hAnsi="Titillium" w:cs="Titillium"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5a7e52"/>
    <w:pPr>
      <w:keepNext w:val="true"/>
      <w:keepLines/>
      <w:spacing w:before="240" w:after="0"/>
      <w:outlineLvl w:val="0"/>
    </w:pPr>
    <w:rPr>
      <w:rFonts w:ascii="Calibri Light" w:hAnsi="Calibri Light" w:eastAsia="游ゴシック Light" w:cs="Times New Roman"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5a7e52"/>
    <w:rPr>
      <w:rFonts w:ascii="Calibri Light" w:hAnsi="Calibri Light" w:eastAsia="游ゴシック Light" w:cs="Times New Roman" w:asciiTheme="majorHAnsi" w:cstheme="majorBidi" w:eastAsiaTheme="majorEastAsia" w:hAnsiTheme="majorHAnsi"/>
      <w:color w:val="2F5496" w:themeColor="accent1" w:themeShade="bf"/>
      <w:sz w:val="32"/>
      <w:szCs w:val="32"/>
    </w:rPr>
  </w:style>
  <w:style w:type="character" w:styleId="Annotationreference">
    <w:name w:val="annotation reference"/>
    <w:basedOn w:val="DefaultParagraphFont"/>
    <w:uiPriority w:val="99"/>
    <w:semiHidden/>
    <w:unhideWhenUsed/>
    <w:qFormat/>
    <w:rsid w:val="00245982"/>
    <w:rPr>
      <w:sz w:val="16"/>
      <w:szCs w:val="16"/>
    </w:rPr>
  </w:style>
  <w:style w:type="character" w:styleId="CommentaireCar" w:customStyle="1">
    <w:name w:val="Commentaire Car"/>
    <w:basedOn w:val="DefaultParagraphFont"/>
    <w:link w:val="Annotationtext"/>
    <w:uiPriority w:val="99"/>
    <w:qFormat/>
    <w:rsid w:val="00245982"/>
    <w:rPr>
      <w:sz w:val="20"/>
      <w:szCs w:val="20"/>
    </w:rPr>
  </w:style>
  <w:style w:type="character" w:styleId="ObjetducommentaireCar" w:customStyle="1">
    <w:name w:val="Objet du commentaire Car"/>
    <w:basedOn w:val="CommentaireCar"/>
    <w:link w:val="Annotationsubject"/>
    <w:uiPriority w:val="99"/>
    <w:semiHidden/>
    <w:qFormat/>
    <w:rsid w:val="00245982"/>
    <w:rPr>
      <w:b/>
      <w:bCs/>
      <w:sz w:val="20"/>
      <w:szCs w:val="20"/>
    </w:rPr>
  </w:style>
  <w:style w:type="character" w:styleId="LienInternet">
    <w:name w:val="Hyperlink"/>
    <w:basedOn w:val="DefaultParagraphFont"/>
    <w:uiPriority w:val="99"/>
    <w:semiHidden/>
    <w:unhideWhenUsed/>
    <w:rsid w:val="0076581d"/>
    <w:rPr>
      <w:color w:val="0563C1" w:themeColor="hyperlink"/>
      <w:u w:val="single"/>
    </w:rPr>
  </w:style>
  <w:style w:type="character" w:styleId="En-tteCar" w:customStyle="1">
    <w:name w:val="En-tête Car"/>
    <w:basedOn w:val="DefaultParagraphFont"/>
    <w:uiPriority w:val="99"/>
    <w:qFormat/>
    <w:rsid w:val="00d06d3a"/>
    <w:rPr/>
  </w:style>
  <w:style w:type="character" w:styleId="PieddepageCar" w:customStyle="1">
    <w:name w:val="Pied de page Car"/>
    <w:basedOn w:val="DefaultParagraphFont"/>
    <w:uiPriority w:val="99"/>
    <w:qFormat/>
    <w:rsid w:val="00d06d3a"/>
    <w:rPr/>
  </w:style>
  <w:style w:type="character" w:styleId="TextedebullesCar" w:customStyle="1">
    <w:name w:val="Texte de bulles Car"/>
    <w:basedOn w:val="DefaultParagraphFont"/>
    <w:link w:val="BalloonText"/>
    <w:uiPriority w:val="99"/>
    <w:semiHidden/>
    <w:qFormat/>
    <w:rsid w:val="00db5a36"/>
    <w:rPr>
      <w:rFonts w:ascii="Segoe UI" w:hAnsi="Segoe UI" w:cs="Segoe UI"/>
      <w:sz w:val="18"/>
      <w:szCs w:val="18"/>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b03ad"/>
    <w:pPr>
      <w:spacing w:before="0" w:after="160"/>
      <w:ind w:left="720" w:hanging="0"/>
      <w:contextualSpacing/>
    </w:pPr>
    <w:rPr/>
  </w:style>
  <w:style w:type="paragraph" w:styleId="Annotationtext">
    <w:name w:val="annotation text"/>
    <w:basedOn w:val="Normal"/>
    <w:link w:val="CommentaireCar"/>
    <w:uiPriority w:val="99"/>
    <w:unhideWhenUsed/>
    <w:qFormat/>
    <w:rsid w:val="00245982"/>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245982"/>
    <w:pPr/>
    <w:rPr>
      <w:b/>
      <w:bCs/>
    </w:rPr>
  </w:style>
  <w:style w:type="paragraph" w:styleId="NormalWeb">
    <w:name w:val="Normal (Web)"/>
    <w:basedOn w:val="Normal"/>
    <w:uiPriority w:val="99"/>
    <w:semiHidden/>
    <w:unhideWhenUsed/>
    <w:qFormat/>
    <w:rsid w:val="009c1787"/>
    <w:pPr>
      <w:spacing w:lineRule="auto" w:line="240" w:beforeAutospacing="1" w:afterAutospacing="1"/>
    </w:pPr>
    <w:rPr>
      <w:rFonts w:ascii="Times New Roman" w:hAnsi="Times New Roman" w:eastAsia="Times New Roman" w:cs="Times New Roman"/>
      <w:sz w:val="24"/>
      <w:szCs w:val="24"/>
      <w:lang w:eastAsia="fr-F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d06d3a"/>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d06d3a"/>
    <w:pPr>
      <w:tabs>
        <w:tab w:val="clear" w:pos="708"/>
        <w:tab w:val="center" w:pos="4536" w:leader="none"/>
        <w:tab w:val="right" w:pos="9072" w:leader="none"/>
      </w:tabs>
      <w:spacing w:lineRule="auto" w:line="240" w:before="0" w:after="0"/>
    </w:pPr>
    <w:rPr/>
  </w:style>
  <w:style w:type="paragraph" w:styleId="Revision">
    <w:name w:val="Revision"/>
    <w:uiPriority w:val="99"/>
    <w:semiHidden/>
    <w:qFormat/>
    <w:rsid w:val="009b6e6b"/>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fr-FR" w:eastAsia="en-US" w:bidi="ar-SA"/>
    </w:rPr>
  </w:style>
  <w:style w:type="paragraph" w:styleId="BalloonText">
    <w:name w:val="Balloon Text"/>
    <w:basedOn w:val="Normal"/>
    <w:link w:val="TextedebullesCar"/>
    <w:uiPriority w:val="99"/>
    <w:semiHidden/>
    <w:unhideWhenUsed/>
    <w:qFormat/>
    <w:rsid w:val="00db5a3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438AB9F90EC4CB91AFD62EF959F82" ma:contentTypeVersion="4" ma:contentTypeDescription="Create a new document." ma:contentTypeScope="" ma:versionID="4994c4a7564d7c60850b87a89af2e7bc">
  <xsd:schema xmlns:xsd="http://www.w3.org/2001/XMLSchema" xmlns:xs="http://www.w3.org/2001/XMLSchema" xmlns:p="http://schemas.microsoft.com/office/2006/metadata/properties" xmlns:ns2="bc630edb-630c-40db-b21d-e5e22bad7614" targetNamespace="http://schemas.microsoft.com/office/2006/metadata/properties" ma:root="true" ma:fieldsID="a88e3539a13675630fc56cbc667676b6" ns2:_="">
    <xsd:import namespace="bc630edb-630c-40db-b21d-e5e22bad7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0edb-630c-40db-b21d-e5e22bad7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56D8-E13E-4CCE-9898-8728FF5B8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B9D00-37A7-47CE-AE6B-591A77003132}">
  <ds:schemaRefs>
    <ds:schemaRef ds:uri="http://schemas.microsoft.com/sharepoint/v3/contenttype/forms"/>
  </ds:schemaRefs>
</ds:datastoreItem>
</file>

<file path=customXml/itemProps3.xml><?xml version="1.0" encoding="utf-8"?>
<ds:datastoreItem xmlns:ds="http://schemas.openxmlformats.org/officeDocument/2006/customXml" ds:itemID="{64A7E191-4A0E-48CA-B87D-2F5473BD2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0edb-630c-40db-b21d-e5e22bad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7AD8F-1093-4DB3-B8C3-F7412C39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LibreOffice/7.5.7.1.M1$Windows_X86_64 LibreOffice_project/9d4bf91ba30c991aaed3b97dd4173f7705c6b5ae</Application>
  <AppVersion>15.0000</AppVersion>
  <Pages>2</Pages>
  <Words>1260</Words>
  <Characters>6908</Characters>
  <CharactersWithSpaces>8138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2024-11-22T14:23:00Z</dcterms:created>
  <dc:creator>Melissa BELLIER</dc:creator>
  <dc:description/>
  <dc:language>fr-FR</dc:language>
  <cp:lastModifiedBy>Régis TAISNE</cp:lastModifiedBy>
  <dcterms:modified xsi:type="dcterms:W3CDTF">2024-11-22T21:15:00Z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0x0101001CE438AB9F90EC4CB91AFD62EF959F82</vt:lpwstr>
  </property>
</Properties>
</file>