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hdphoto2.wdp" ContentType="image/vnd.ms-photo"/>
  <Override PartName="/word/media/image1.png" ContentType="image/png"/>
  <Override PartName="/word/media/hdphoto1.wdp" ContentType="image/vnd.ms-photo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6"/>
        </w:rPr>
      </w:pPr>
      <w:bookmarkStart w:id="0" w:name="_GoBack"/>
      <w:bookmarkEnd w:id="0"/>
      <w:r>
        <w:rPr/>
        <w:drawing>
          <wp:inline distT="0" distB="0" distL="0" distR="0">
            <wp:extent cx="1355725" cy="1247775"/>
            <wp:effectExtent l="0" t="0" r="0" b="0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shd w:val="clear" w:color="auto" w:fill="B8CCE4" w:themeFill="accent1" w:themeFillTint="66"/>
        <w:jc w:val="center"/>
        <w:rPr>
          <w:sz w:val="18"/>
        </w:rPr>
      </w:pPr>
      <w:r>
        <w:rPr>
          <w:b/>
          <w:sz w:val="22"/>
        </w:rPr>
        <w:t>TAXE D’APPRENTISSAGE 2023</w:t>
      </w:r>
    </w:p>
    <w:p>
      <w:pPr>
        <w:pStyle w:val="Normal"/>
        <w:shd w:val="clear" w:color="auto" w:fill="B8CCE4" w:themeFill="accent1" w:themeFillTint="66"/>
        <w:jc w:val="center"/>
        <w:rPr>
          <w:sz w:val="18"/>
        </w:rPr>
      </w:pPr>
      <w:r>
        <w:rPr>
          <w:b/>
          <w:sz w:val="22"/>
        </w:rPr>
        <w:t xml:space="preserve">FORMULAIRE DE PREMIERE DEMANDE D’HABILITATION </w:t>
      </w:r>
    </w:p>
    <w:p>
      <w:pPr>
        <w:pStyle w:val="Normal"/>
        <w:jc w:val="center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 retourner au service instructeur (selon la tutelle pédagogique et/ou le champ de compétences)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Cf. liste des référents apprentissage en dernière page (Annexe 1).</w:t>
      </w:r>
    </w:p>
    <w:p>
      <w:pPr>
        <w:pStyle w:val="Normal"/>
        <w:jc w:val="center"/>
        <w:rPr>
          <w:i/>
          <w:i/>
          <w:color w:val="4F81BD" w:themeColor="accent1"/>
          <w:sz w:val="22"/>
          <w:szCs w:val="22"/>
        </w:rPr>
      </w:pPr>
      <w:r>
        <w:rPr>
          <w:b/>
          <w:i/>
          <w:color w:val="4F81BD" w:themeColor="accent1"/>
          <w:sz w:val="22"/>
          <w:szCs w:val="22"/>
          <w:u w:val="single"/>
        </w:rPr>
        <w:t>Date limite de dépôt des dossiers</w:t>
      </w:r>
      <w:r>
        <w:rPr>
          <w:b/>
          <w:i/>
          <w:color w:val="4F81BD" w:themeColor="accent1"/>
          <w:sz w:val="22"/>
          <w:szCs w:val="22"/>
        </w:rPr>
        <w:t xml:space="preserve"> : </w:t>
      </w:r>
      <w:r>
        <w:rPr>
          <w:b/>
          <w:color w:val="FF0000"/>
          <w:sz w:val="22"/>
          <w:szCs w:val="22"/>
        </w:rPr>
        <w:t>jeudi 10 novembre 2022</w:t>
      </w:r>
      <w:r>
        <w:rPr>
          <w:b/>
          <w:i/>
          <w:color w:val="FF0000"/>
          <w:sz w:val="22"/>
          <w:szCs w:val="22"/>
        </w:rPr>
        <w:t xml:space="preserve">                                     </w: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Titre2"/>
        <w:numPr>
          <w:ilvl w:val="1"/>
          <w:numId w:val="2"/>
        </w:numPr>
        <w:spacing w:before="0" w:after="0"/>
        <w:ind w:left="578" w:hanging="578"/>
        <w:rPr>
          <w:rStyle w:val="IntenseReference"/>
          <w:color w:val="000000" w:themeColor="text1"/>
          <w:sz w:val="22"/>
          <w:szCs w:val="22"/>
        </w:rPr>
      </w:pPr>
      <w:r>
        <w:rPr>
          <w:rStyle w:val="IntenseReference"/>
          <w:color w:val="000000" w:themeColor="text1"/>
          <w:sz w:val="22"/>
          <w:szCs w:val="22"/>
        </w:rPr>
        <w:t>Données signalétiques de l’établissement/organisme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Etablissement/organisme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Intitulé complet (raison sociale)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Nom commercial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SIGLE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Adresse complète : 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Code postal et commune : </w:t>
      </w:r>
    </w:p>
    <w:p>
      <w:pPr>
        <w:pStyle w:val="Normal"/>
        <w:tabs>
          <w:tab w:val="clear" w:pos="708"/>
          <w:tab w:val="left" w:pos="5040" w:leader="none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N° téléphone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Courriel : 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Nom du Directeur (Directrice) :</w:t>
      </w:r>
    </w:p>
    <w:p>
      <w:pPr>
        <w:pStyle w:val="Normal"/>
        <w:tabs>
          <w:tab w:val="clear" w:pos="708"/>
          <w:tab w:val="left" w:pos="5940" w:leader="none"/>
          <w:tab w:val="left" w:pos="6120" w:leader="none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Ministère ou autorité de tutelle :</w:t>
      </w:r>
    </w:p>
    <w:p>
      <w:pPr>
        <w:pStyle w:val="Normal"/>
        <w:tabs>
          <w:tab w:val="clear" w:pos="708"/>
          <w:tab w:val="left" w:pos="5940" w:leader="none"/>
          <w:tab w:val="left" w:pos="6120" w:leader="none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Activités principales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Adresse administrative (</w:t>
      </w:r>
      <w:r>
        <w:rPr>
          <w:i/>
          <w:sz w:val="22"/>
          <w:szCs w:val="22"/>
        </w:rPr>
        <w:t>si différente du siège social)</w:t>
      </w:r>
      <w:r>
        <w:rPr>
          <w:sz w:val="22"/>
          <w:szCs w:val="22"/>
        </w:rPr>
        <w:t xml:space="preserve"> :  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Code postal et commune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N° téléphone : 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Courriel : 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>SIRET :</w:t>
      </w:r>
    </w:p>
    <w:p>
      <w:pPr>
        <w:pStyle w:val="Normal"/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  <w:t>Préciser si l’établissement (regroupant éventuellement plusieurs composantes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est ouvert :</w:t>
      </w:r>
    </w:p>
    <w:p>
      <w:pPr>
        <w:pStyle w:val="Normal"/>
        <w:tabs>
          <w:tab w:val="clear" w:pos="708"/>
          <w:tab w:val="left" w:pos="7200" w:leader="none"/>
          <w:tab w:val="left" w:pos="8460" w:leader="none"/>
        </w:tabs>
        <w:spacing w:lineRule="auto" w:line="276"/>
        <w:ind w:left="890" w:hanging="0"/>
        <w:jc w:val="both"/>
        <w:rPr>
          <w:sz w:val="22"/>
          <w:szCs w:val="22"/>
        </w:rPr>
      </w:pPr>
      <w:r>
        <w:rPr>
          <w:sz w:val="22"/>
          <w:szCs w:val="22"/>
        </w:rPr>
        <w:t>- au titre de la formation continue (6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partie Livre III du Code du Travail)   OUI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NON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</w:p>
    <w:p>
      <w:pPr>
        <w:pStyle w:val="Normal"/>
        <w:tabs>
          <w:tab w:val="clear" w:pos="708"/>
          <w:tab w:val="left" w:pos="7200" w:leader="none"/>
          <w:tab w:val="left" w:pos="8460" w:leader="none"/>
        </w:tabs>
        <w:spacing w:lineRule="auto" w:line="276"/>
        <w:ind w:left="89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au titre de la formation initiale (secondaire et/ou supérieure)                      OUI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NON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</w:p>
    <w:p>
      <w:pPr>
        <w:pStyle w:val="Normal"/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  <w:t>et s’il assure des formations relevant à titre principal d’une certification :</w:t>
      </w:r>
    </w:p>
    <w:p>
      <w:pPr>
        <w:pStyle w:val="Normal"/>
        <w:spacing w:lineRule="auto" w:line="276"/>
        <w:ind w:left="1416" w:hanging="0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de</w:t>
      </w:r>
      <w:r>
        <w:rPr>
          <w:sz w:val="22"/>
          <w:szCs w:val="22"/>
        </w:rPr>
        <w:t xml:space="preserve"> l’Education Nationale 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l’Enseignement Supérieur   </w:t>
      </w:r>
    </w:p>
    <w:p>
      <w:pPr>
        <w:pStyle w:val="Normal"/>
        <w:spacing w:lineRule="auto" w:line="276"/>
        <w:ind w:left="1416" w:hanging="0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de</w:t>
      </w:r>
      <w:r>
        <w:rPr>
          <w:sz w:val="22"/>
          <w:szCs w:val="22"/>
        </w:rPr>
        <w:t xml:space="preserve"> la Santé 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de l’Agriculture  </w:t>
      </w:r>
    </w:p>
    <w:p>
      <w:pPr>
        <w:pStyle w:val="Normal"/>
        <w:spacing w:lineRule="auto" w:line="276"/>
        <w:ind w:left="1416" w:hanging="0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d’une autre certification (</w:t>
      </w:r>
      <w:r>
        <w:rPr>
          <w:i/>
          <w:sz w:val="22"/>
          <w:szCs w:val="22"/>
        </w:rPr>
        <w:t>à préciser</w:t>
      </w:r>
      <w:r>
        <w:rPr>
          <w:sz w:val="22"/>
          <w:szCs w:val="22"/>
        </w:rPr>
        <w:t>) : ………………………….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Numéro UAI (Unité Administrative Immatriculée) : 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8" w:hanging="0"/>
        <w:jc w:val="both"/>
        <w:rPr>
          <w:sz w:val="22"/>
          <w:szCs w:val="22"/>
        </w:rPr>
      </w:pPr>
      <w:r>
        <w:rPr>
          <w:rFonts w:eastAsia="Wingdings 3" w:cs="Wingdings 3" w:ascii="Wingdings 3" w:hAnsi="Wingdings 3"/>
          <w:i/>
          <w:sz w:val="22"/>
          <w:szCs w:val="22"/>
        </w:rPr>
        <w:t>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Si pas de numéro UAI, merci de cocher la case</w:t>
      </w:r>
      <w:r>
        <w:rPr>
          <w:sz w:val="22"/>
          <w:szCs w:val="22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</w:p>
    <w:p>
      <w:pPr>
        <w:pStyle w:val="Normal"/>
        <w:spacing w:lineRule="auto" w:line="276"/>
        <w:ind w:firstLine="709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Organisme gestionnaire de l’établissement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  <w:t>Intitulé de l’organisme gestionnaire de l’établissement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  <w:t>Adresse de l’organisme gestionnaire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Code postal et commune : 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N° téléphone : 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  <w:t>Courriel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  <w:t>Nom du Président(e) et du Directeur (trice)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  <w:t>SIRET de l’organisme gestionnaire de l’établissement :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ind w:left="70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ind w:left="708" w:hanging="0"/>
        <w:rPr>
          <w:sz w:val="28"/>
          <w:szCs w:val="28"/>
        </w:rPr>
      </w:pPr>
      <w:r>
        <w:rPr>
          <w:b/>
          <w:sz w:val="22"/>
          <w:szCs w:val="18"/>
          <w:vertAlign w:val="superscript"/>
        </w:rPr>
        <w:t>1</w:t>
      </w:r>
      <w:r>
        <w:rPr>
          <w:b/>
          <w:bCs/>
          <w:i/>
          <w:iCs/>
          <w:sz w:val="16"/>
          <w:szCs w:val="18"/>
        </w:rPr>
        <w:t xml:space="preserve">Si la demande est formulée au titre de plusieurs composantes, il conviendra d’indiquer ci-après le Code UAI de chacune d’elles : composante 1 </w:t>
      </w:r>
      <w:r>
        <w:rPr>
          <w:b/>
          <w:bCs/>
          <w:i/>
          <w:iCs/>
          <w:sz w:val="16"/>
          <w:szCs w:val="18"/>
          <w:u w:val="dotted"/>
        </w:rPr>
        <w:t xml:space="preserve">                                </w:t>
      </w:r>
      <w:r>
        <w:rPr>
          <w:b/>
          <w:bCs/>
          <w:i/>
          <w:iCs/>
          <w:sz w:val="16"/>
          <w:szCs w:val="18"/>
        </w:rPr>
        <w:t xml:space="preserve"> composante 2</w:t>
      </w:r>
      <w:r>
        <w:rPr>
          <w:b/>
          <w:bCs/>
          <w:sz w:val="16"/>
          <w:szCs w:val="18"/>
        </w:rPr>
        <w:t xml:space="preserve"> ………………………</w:t>
      </w:r>
      <w:r>
        <w:br w:type="page"/>
      </w:r>
    </w:p>
    <w:p>
      <w:pPr>
        <w:pStyle w:val="Normal"/>
        <w:spacing w:before="0" w:after="120"/>
        <w:ind w:left="708" w:hanging="0"/>
        <w:jc w:val="both"/>
        <w:rPr>
          <w:sz w:val="16"/>
          <w:szCs w:val="18"/>
        </w:rPr>
      </w:pPr>
      <w:r>
        <w:rPr>
          <w:sz w:val="16"/>
          <w:szCs w:val="18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B8CCE4" w:themeFill="accent1" w:themeFillTint="66"/>
        <w:tabs>
          <w:tab w:val="clear" w:pos="708"/>
          <w:tab w:val="left" w:pos="10204" w:leader="none"/>
        </w:tabs>
        <w:spacing w:lineRule="auto" w:line="276" w:before="120" w:after="120"/>
        <w:jc w:val="center"/>
        <w:rPr>
          <w:b/>
          <w:b/>
          <w:sz w:val="22"/>
          <w:szCs w:val="28"/>
        </w:rPr>
      </w:pPr>
      <w:r>
        <w:rPr>
          <w:b/>
          <w:sz w:val="22"/>
          <w:szCs w:val="28"/>
        </w:rPr>
        <w:t>PROCEDURE (à lire attentivement)</w:t>
      </w:r>
    </w:p>
    <w:p>
      <w:pPr>
        <w:pStyle w:val="Normal"/>
        <w:tabs>
          <w:tab w:val="clear" w:pos="708"/>
          <w:tab w:val="left" w:pos="10204" w:leader="none"/>
        </w:tabs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jc w:val="both"/>
        <w:rPr>
          <w:sz w:val="22"/>
        </w:rPr>
      </w:pPr>
      <w:r>
        <w:rPr>
          <w:sz w:val="22"/>
        </w:rPr>
        <w:t>Le solde du produit de la taxe d'apprentissage due est destiné à des dépenses libératoires effectuées par l'employeur en application de l'article L. 6241-4 du Code du Travail. Les entreprises s’acquittent du solde de la taxe d’apprentissage soit au titre du 1° ou 2° de ce même article ; les listes régionales d’habilitation concernent le 1°.</w:t>
      </w:r>
    </w:p>
    <w:p>
      <w:pPr>
        <w:pStyle w:val="Normal"/>
        <w:tabs>
          <w:tab w:val="clear" w:pos="708"/>
          <w:tab w:val="left" w:pos="10204" w:leader="none"/>
        </w:tabs>
        <w:spacing w:lineRule="auto" w:line="276"/>
        <w:jc w:val="both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08"/>
          <w:tab w:val="left" w:pos="10204" w:leader="none"/>
        </w:tabs>
        <w:spacing w:lineRule="auto" w:line="276" w:before="0" w:after="120"/>
        <w:jc w:val="both"/>
        <w:rPr>
          <w:sz w:val="22"/>
        </w:rPr>
      </w:pPr>
      <w:r>
        <w:rPr>
          <w:sz w:val="22"/>
        </w:rPr>
        <w:t>Les organismes/établissements peuvent être habilités à percevoir le solde de la taxe d’apprentissage soit au titre :</w:t>
        <w:tab/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60"/>
        <w:ind w:left="714" w:hanging="357"/>
        <w:jc w:val="both"/>
        <w:rPr>
          <w:sz w:val="22"/>
        </w:rPr>
      </w:pPr>
      <w:r>
        <w:rPr>
          <w:i/>
          <w:sz w:val="22"/>
          <w:u w:val="single"/>
        </w:rPr>
        <w:t>Des formations technologiques et professionnelles qui conduisent à un diplôme ou à un titre professionnel enregistré au registre national des certifications professionnelles (RNCP), dispensées à temps complet et en continue</w:t>
      </w:r>
      <w:r>
        <w:rPr>
          <w:sz w:val="22"/>
        </w:rPr>
        <w:t xml:space="preserve">. </w:t>
      </w:r>
    </w:p>
    <w:p>
      <w:pPr>
        <w:pStyle w:val="ListParagraph"/>
        <w:suppressAutoHyphens w:val="false"/>
        <w:spacing w:lineRule="auto" w:line="276"/>
        <w:jc w:val="both"/>
        <w:rPr>
          <w:sz w:val="22"/>
        </w:rPr>
      </w:pPr>
      <w:r>
        <w:rPr>
          <w:sz w:val="22"/>
        </w:rPr>
        <w:t xml:space="preserve">Les jeunes accueillis doivent être </w:t>
      </w:r>
      <w:r>
        <w:rPr>
          <w:sz w:val="22"/>
          <w:u w:val="single"/>
        </w:rPr>
        <w:t>en formation initiale sous statut scolaire ou universitaire</w:t>
      </w:r>
      <w:r>
        <w:rPr>
          <w:sz w:val="22"/>
        </w:rPr>
        <w:t xml:space="preserve">. </w:t>
      </w:r>
    </w:p>
    <w:p>
      <w:pPr>
        <w:pStyle w:val="ListParagraph"/>
        <w:suppressAutoHyphens w:val="false"/>
        <w:spacing w:lineRule="auto" w:line="276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suppressAutoHyphens w:val="false"/>
        <w:spacing w:lineRule="auto" w:line="276"/>
        <w:jc w:val="both"/>
        <w:rPr>
          <w:b/>
          <w:b/>
          <w:color w:val="FF0000"/>
          <w:sz w:val="22"/>
        </w:rPr>
      </w:pPr>
      <w:r>
        <w:rPr>
          <w:b/>
          <w:color w:val="FF0000"/>
          <w:sz w:val="22"/>
        </w:rPr>
        <w:t xml:space="preserve">ATTENTION </w:t>
      </w:r>
      <w:r>
        <w:rPr>
          <w:b/>
          <w:sz w:val="22"/>
        </w:rPr>
        <w:t>la formation continue (y compris le contrat de professionnalisation) n’est donc pas éligible.</w:t>
      </w:r>
    </w:p>
    <w:p>
      <w:pPr>
        <w:pStyle w:val="ListParagraph"/>
        <w:suppressAutoHyphens w:val="false"/>
        <w:spacing w:lineRule="auto" w:line="276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suppressAutoHyphens w:val="false"/>
        <w:spacing w:lineRule="auto" w:line="276" w:before="0" w:after="0"/>
        <w:jc w:val="both"/>
        <w:rPr>
          <w:sz w:val="22"/>
        </w:rPr>
      </w:pPr>
      <w:r>
        <w:rPr>
          <w:rFonts w:eastAsia="Wingdings 3" w:cs="Wingdings 3" w:ascii="Wingdings 3" w:hAnsi="Wingdings 3"/>
          <w:sz w:val="22"/>
        </w:rPr>
        <w:t></w:t>
      </w:r>
      <w:r>
        <w:rPr>
          <w:sz w:val="22"/>
        </w:rPr>
        <w:t xml:space="preserve"> </w:t>
      </w:r>
      <w:r>
        <w:rPr>
          <w:sz w:val="22"/>
        </w:rPr>
        <w:t>Ces organismes figurent dans les catégories de 1° au 6° de l’article L.6241-5 du code du travail (page 5).</w:t>
      </w:r>
    </w:p>
    <w:p>
      <w:pPr>
        <w:pStyle w:val="Normal"/>
        <w:suppressAutoHyphens w:val="false"/>
        <w:spacing w:lineRule="auto" w:line="276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60"/>
        <w:ind w:left="714" w:hanging="357"/>
        <w:jc w:val="both"/>
        <w:rPr>
          <w:i/>
          <w:i/>
          <w:sz w:val="22"/>
          <w:u w:val="single"/>
        </w:rPr>
      </w:pPr>
      <w:r>
        <w:rPr>
          <w:i/>
          <w:sz w:val="22"/>
          <w:u w:val="single"/>
        </w:rPr>
        <w:t>De l’insertion professionnelle</w:t>
      </w:r>
    </w:p>
    <w:p>
      <w:pPr>
        <w:pStyle w:val="Normal"/>
        <w:suppressAutoHyphens w:val="false"/>
        <w:spacing w:lineRule="auto" w:line="276"/>
        <w:ind w:left="708" w:hanging="0"/>
        <w:jc w:val="both"/>
        <w:rPr>
          <w:sz w:val="22"/>
        </w:rPr>
      </w:pPr>
      <w:r>
        <w:rPr>
          <w:sz w:val="22"/>
        </w:rPr>
        <w:t xml:space="preserve">Ces organismes/établissements figurent dans les catégories de 7° au 12° (sauf le 11°) de l’article L.6241-5 du code du travail (page 5). </w:t>
      </w:r>
    </w:p>
    <w:p>
      <w:pPr>
        <w:pStyle w:val="Normal"/>
        <w:suppressAutoHyphens w:val="false"/>
        <w:spacing w:lineRule="auto" w:line="276"/>
        <w:ind w:left="708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false"/>
        <w:spacing w:lineRule="auto" w:line="276"/>
        <w:ind w:left="709" w:hanging="0"/>
        <w:jc w:val="both"/>
        <w:rPr>
          <w:sz w:val="22"/>
        </w:rPr>
      </w:pPr>
      <w:r>
        <w:rPr>
          <w:rFonts w:eastAsia="Wingdings 3" w:cs="Wingdings 3" w:ascii="Wingdings 3" w:hAnsi="Wingdings 3"/>
          <w:sz w:val="22"/>
        </w:rPr>
        <w:t></w:t>
      </w:r>
      <w:r>
        <w:rPr>
          <w:sz w:val="22"/>
        </w:rPr>
        <w:t xml:space="preserve"> </w:t>
      </w:r>
      <w:r>
        <w:rPr>
          <w:sz w:val="22"/>
        </w:rPr>
        <w:t>Il s’agit d’organismes ou d’établissements expressément nommés comme les Ecoles de la Deuxième Chance, les Ecoles de Production et/ou des organismes/établissements qui exercent des missions spécifiques (lutte contre le décrochage, accompagnement de personnes en situation d’handicap, SEGPA, ESAT…).</w:t>
      </w:r>
    </w:p>
    <w:p>
      <w:pPr>
        <w:pStyle w:val="Normal"/>
        <w:suppressAutoHyphens w:val="false"/>
        <w:spacing w:lineRule="auto" w:line="276"/>
        <w:ind w:left="708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76" w:before="0" w:after="60"/>
        <w:ind w:left="714" w:hanging="357"/>
        <w:jc w:val="both"/>
        <w:rPr>
          <w:i/>
          <w:i/>
          <w:sz w:val="22"/>
          <w:u w:val="single"/>
        </w:rPr>
      </w:pPr>
      <w:r>
        <w:rPr>
          <w:i/>
          <w:sz w:val="22"/>
          <w:u w:val="single"/>
        </w:rPr>
        <w:t>Du Service Public Régional de l’Orientation</w:t>
      </w:r>
    </w:p>
    <w:p>
      <w:pPr>
        <w:pStyle w:val="Normal"/>
        <w:suppressAutoHyphens w:val="false"/>
        <w:spacing w:lineRule="auto" w:line="276"/>
        <w:ind w:left="708" w:hanging="0"/>
        <w:jc w:val="both"/>
        <w:rPr>
          <w:sz w:val="22"/>
        </w:rPr>
      </w:pPr>
      <w:r>
        <w:rPr>
          <w:sz w:val="22"/>
        </w:rPr>
        <w:t>Une liste spécifique élaborée par le Président du Conseil Régional est prévue pour les organismes exerçant une mission d’orientation. Il s’agit de la catégorie 11° de l’article L.6241-5 (page 5).</w:t>
      </w:r>
    </w:p>
    <w:p>
      <w:pPr>
        <w:pStyle w:val="Normal"/>
        <w:suppressAutoHyphens w:val="false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suppressAutoHyphens w:val="false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suppressAutoHyphens w:val="false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suppressAutoHyphens w:val="false"/>
        <w:ind w:left="708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>ATTENTION</w:t>
      </w:r>
      <w:r>
        <w:rPr>
          <w:b/>
          <w:color w:val="000000"/>
          <w:sz w:val="22"/>
          <w:szCs w:val="22"/>
        </w:rPr>
        <w:t xml:space="preserve"> Une inscription de votre établissement/organisme sur la liste nationale exclut une habilitation sur les listes régionales.</w:t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ind w:firstLine="708"/>
        <w:rPr>
          <w:color w:val="000000"/>
          <w:sz w:val="22"/>
          <w:szCs w:val="22"/>
        </w:rPr>
      </w:pPr>
      <w:r>
        <w:rPr>
          <w:rFonts w:eastAsia="Wingdings 3" w:cs="Wingdings 3" w:ascii="Wingdings 3" w:hAnsi="Wingdings 3"/>
          <w:color w:val="000000"/>
          <w:sz w:val="22"/>
          <w:szCs w:val="22"/>
        </w:rPr>
        <w:t>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Avant de formaliser votre demande d’habilitation, merci de bien vouloir vérifier votre éligibilité </w:t>
      </w:r>
    </w:p>
    <w:p>
      <w:pPr>
        <w:pStyle w:val="Normal"/>
        <w:suppressAutoHyphens w:val="false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lisant attentivement le document en pages 3 et 4.</w:t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>
        <w:br w:type="page"/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jc w:val="center"/>
        <w:rPr>
          <w:color w:val="000000"/>
          <w:sz w:val="22"/>
          <w:szCs w:val="22"/>
        </w:rPr>
      </w:pPr>
      <w:r>
        <w:rPr/>
        <mc:AlternateContent>
          <mc:Choice Requires="wps">
            <w:drawing>
              <wp:inline distT="0" distB="0" distL="0" distR="0" wp14:anchorId="74F7F6E2">
                <wp:extent cx="6500495" cy="8994775"/>
                <wp:effectExtent l="0" t="0" r="0" b="0"/>
                <wp:docPr id="2" name="P1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1.JPG" descr="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0" t="7031" r="0" b="0"/>
                        <a:stretch/>
                      </pic:blipFill>
                      <pic:spPr>
                        <a:xfrm>
                          <a:off x="0" y="0"/>
                          <a:ext cx="6499800" cy="8994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1.JPG" stroked="f" style="position:absolute;margin-left:0pt;margin-top:-708.25pt;width:511.75pt;height:708.15pt;mso-position-vertical:top" wp14:anchorId="74F7F6E2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uppressAutoHyphens w:val="false"/>
        <w:jc w:val="center"/>
        <w:rPr>
          <w:color w:val="000000"/>
          <w:sz w:val="22"/>
          <w:szCs w:val="22"/>
        </w:rPr>
      </w:pPr>
      <w:r>
        <w:rPr/>
        <mc:AlternateContent>
          <mc:Choice Requires="wps">
            <w:drawing>
              <wp:inline distT="0" distB="0" distL="0" distR="0">
                <wp:extent cx="6510655" cy="9396095"/>
                <wp:effectExtent l="0" t="0" r="5715" b="0"/>
                <wp:docPr id="3" name="P2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2.JPG" descr="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harpenSoften amount="25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6509880" cy="939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2.JPG" stroked="f" style="position:absolute;margin-left:0pt;margin-top:-739.85pt;width:512.55pt;height:739.75pt;mso-position-vertical:top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uppressAutoHyphens w:val="fals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>
        <w:br w:type="page"/>
      </w:r>
    </w:p>
    <w:p>
      <w:pPr>
        <w:pStyle w:val="Normal"/>
        <w:suppressAutoHyphens w:val="false"/>
        <w:rPr>
          <w:color w:val="000000"/>
          <w:u w:val="single"/>
        </w:rPr>
      </w:pPr>
      <w:r>
        <w:rPr>
          <w:color w:val="000000"/>
          <w:u w:val="single"/>
        </w:rPr>
      </w:r>
    </w:p>
    <w:p>
      <w:pPr>
        <w:pStyle w:val="Normal"/>
        <w:suppressAutoHyphens w:val="false"/>
        <w:jc w:val="center"/>
        <w:rPr>
          <w:b/>
          <w:b/>
          <w:color w:val="000000"/>
          <w:sz w:val="22"/>
          <w:szCs w:val="22"/>
        </w:rPr>
      </w:pPr>
      <w:r>
        <w:rPr>
          <w:rFonts w:eastAsia="Wingdings 3" w:cs="Wingdings 3" w:ascii="Wingdings 3" w:hAnsi="Wingdings 3"/>
          <w:b/>
          <w:color w:val="000000"/>
          <w:sz w:val="22"/>
          <w:szCs w:val="22"/>
        </w:rPr>
        <w:t>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Au regard de ces éléments, merci de désigner ci-après la catégorie dans laquelle s’inscrit </w:t>
      </w:r>
      <w:r>
        <w:rPr>
          <w:rFonts w:eastAsia="Wingdings 3" w:cs="Wingdings 3" w:ascii="Wingdings 3" w:hAnsi="Wingdings 3"/>
          <w:b/>
          <w:color w:val="000000"/>
          <w:sz w:val="22"/>
          <w:szCs w:val="22"/>
        </w:rPr>
        <w:t></w:t>
      </w:r>
    </w:p>
    <w:p>
      <w:pPr>
        <w:pStyle w:val="Normal"/>
        <w:suppressAutoHyphens w:val="false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votre demande en cochant la case principale et selon le cas les sous-catégories.</w:t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L'article L6241-5 du Code du travail :</w:t>
      </w:r>
    </w:p>
    <w:p>
      <w:pPr>
        <w:pStyle w:val="Normal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Les établissements publics d'enseignement du second degré ; </w:t>
      </w:r>
    </w:p>
    <w:p>
      <w:pPr>
        <w:pStyle w:val="NormalWeb"/>
        <w:spacing w:lineRule="auto" w:line="276"/>
        <w:jc w:val="both"/>
        <w:rPr>
          <w:rFonts w:ascii="Arial" w:hAnsi="Arial" w:cs="Arial"/>
          <w:sz w:val="22"/>
          <w:szCs w:val="22"/>
          <w:lang w:eastAsia="fr-FR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2"/>
              <w:szCs w:val="22"/>
            </w:rPr>
            <w:t>☐</w:t>
          </w:r>
        </w:sdtContent>
      </w:sdt>
      <w:r>
        <w:rPr>
          <w:rFonts w:eastAsia="Wingdings" w:cs="Arial" w:ascii="Arial" w:hAnsi="Arial"/>
          <w:sz w:val="22"/>
          <w:szCs w:val="22"/>
        </w:rPr>
        <w:t xml:space="preserve"> </w:t>
      </w:r>
      <w:r>
        <w:rPr>
          <w:rFonts w:eastAsia="Wingdings" w:cs="Arial" w:ascii="Arial" w:hAnsi="Arial"/>
          <w:b/>
          <w:sz w:val="22"/>
          <w:szCs w:val="22"/>
        </w:rPr>
        <w:t>2</w:t>
      </w:r>
      <w:r>
        <w:rPr>
          <w:rFonts w:eastAsia="Wingdings" w:cs="Arial" w:ascii="Arial" w:hAnsi="Arial"/>
          <w:sz w:val="22"/>
          <w:szCs w:val="22"/>
        </w:rPr>
        <w:t xml:space="preserve">. </w:t>
      </w:r>
      <w:r>
        <w:rPr>
          <w:rFonts w:cs="Arial" w:ascii="Arial" w:hAnsi="Arial"/>
          <w:sz w:val="22"/>
          <w:szCs w:val="22"/>
          <w:lang w:eastAsia="fr-FR"/>
        </w:rPr>
        <w:t xml:space="preserve">Les établissements d'enseignement privés du second degré gérés par des organismes à but non   </w:t>
      </w:r>
    </w:p>
    <w:p>
      <w:pPr>
        <w:pStyle w:val="NormalWeb"/>
        <w:spacing w:lineRule="auto" w:line="276"/>
        <w:jc w:val="both"/>
        <w:rPr>
          <w:rFonts w:ascii="Arial" w:hAnsi="Arial" w:cs="Arial"/>
          <w:sz w:val="22"/>
          <w:szCs w:val="22"/>
          <w:lang w:eastAsia="fr-FR"/>
        </w:rPr>
      </w:pPr>
      <w:r>
        <w:rPr>
          <w:rFonts w:cs="Arial" w:ascii="Arial" w:hAnsi="Arial"/>
          <w:sz w:val="22"/>
          <w:szCs w:val="22"/>
          <w:lang w:eastAsia="fr-FR"/>
        </w:rPr>
        <w:t xml:space="preserve">lucratif et qui remplissent l'une des conditions suivantes : </w:t>
      </w:r>
    </w:p>
    <w:p>
      <w:pPr>
        <w:pStyle w:val="Normal"/>
        <w:suppressAutoHyphens w:val="false"/>
        <w:spacing w:lineRule="auto" w:line="276"/>
        <w:ind w:left="696" w:hanging="0"/>
        <w:jc w:val="both"/>
        <w:rPr/>
      </w:pPr>
      <w:r>
        <w:rPr>
          <w:sz w:val="22"/>
          <w:szCs w:val="22"/>
          <w:lang w:eastAsia="fr-FR"/>
        </w:rPr>
        <w:t xml:space="preserve">a) Etre lié à l'Etat par l'un des contrats d'association mentionnés à l'article </w:t>
      </w:r>
      <w:hyperlink r:id="rId7">
        <w:r>
          <w:rPr>
            <w:rStyle w:val="ListLabel44"/>
            <w:color w:val="0000FF"/>
            <w:sz w:val="22"/>
            <w:szCs w:val="22"/>
            <w:u w:val="single"/>
            <w:lang w:eastAsia="fr-FR"/>
          </w:rPr>
          <w:t xml:space="preserve">L. 442-5 du code de  l'éducation </w:t>
        </w:r>
      </w:hyperlink>
      <w:r>
        <w:rPr>
          <w:sz w:val="22"/>
          <w:szCs w:val="22"/>
          <w:lang w:eastAsia="fr-FR"/>
        </w:rPr>
        <w:t xml:space="preserve">ou à l'article </w:t>
      </w:r>
      <w:hyperlink r:id="rId8">
        <w:r>
          <w:rPr>
            <w:rStyle w:val="ListLabel44"/>
            <w:color w:val="0000FF"/>
            <w:sz w:val="22"/>
            <w:szCs w:val="22"/>
            <w:u w:val="single"/>
            <w:lang w:eastAsia="fr-FR"/>
          </w:rPr>
          <w:t xml:space="preserve">L. 813-1 du code rural et de la pêche maritime </w:t>
        </w:r>
      </w:hyperlink>
      <w:r>
        <w:rPr>
          <w:sz w:val="22"/>
          <w:szCs w:val="22"/>
          <w:lang w:eastAsia="fr-FR"/>
        </w:rPr>
        <w:t xml:space="preserve">; </w:t>
      </w:r>
    </w:p>
    <w:p>
      <w:pPr>
        <w:pStyle w:val="Normal"/>
        <w:suppressAutoHyphens w:val="false"/>
        <w:spacing w:lineRule="auto" w:line="276"/>
        <w:ind w:left="695" w:hanging="0"/>
        <w:jc w:val="both"/>
        <w:rPr/>
      </w:pPr>
      <w:r>
        <w:rPr>
          <w:sz w:val="22"/>
          <w:szCs w:val="22"/>
          <w:lang w:eastAsia="fr-FR"/>
        </w:rPr>
        <w:t xml:space="preserve">b) Etre habilité à recevoir des boursiers nationaux conformément aux procédures prévues à l'article </w:t>
      </w:r>
      <w:hyperlink r:id="rId9">
        <w:r>
          <w:rPr>
            <w:rStyle w:val="ListLabel44"/>
            <w:color w:val="0000FF"/>
            <w:sz w:val="22"/>
            <w:szCs w:val="22"/>
            <w:u w:val="single"/>
            <w:lang w:eastAsia="fr-FR"/>
          </w:rPr>
          <w:t xml:space="preserve">L. 531-4 du code de l'éducation </w:t>
        </w:r>
      </w:hyperlink>
      <w:r>
        <w:rPr>
          <w:sz w:val="22"/>
          <w:szCs w:val="22"/>
          <w:lang w:eastAsia="fr-FR"/>
        </w:rPr>
        <w:t xml:space="preserve">; </w:t>
      </w:r>
    </w:p>
    <w:p>
      <w:pPr>
        <w:pStyle w:val="Normal"/>
        <w:suppressAutoHyphens w:val="false"/>
        <w:spacing w:lineRule="auto" w:line="276"/>
        <w:ind w:left="695" w:hanging="0"/>
        <w:jc w:val="both"/>
        <w:rPr/>
      </w:pPr>
      <w:r>
        <w:rPr>
          <w:sz w:val="22"/>
          <w:szCs w:val="22"/>
          <w:lang w:eastAsia="fr-FR"/>
        </w:rPr>
        <w:t xml:space="preserve">c) Etre reconnu conformément à la procédure prévue à l'article </w:t>
      </w:r>
      <w:hyperlink r:id="rId10">
        <w:r>
          <w:rPr>
            <w:rStyle w:val="ListLabel44"/>
            <w:color w:val="0000FF"/>
            <w:sz w:val="22"/>
            <w:szCs w:val="22"/>
            <w:u w:val="single"/>
            <w:lang w:eastAsia="fr-FR"/>
          </w:rPr>
          <w:t xml:space="preserve">L. 443-2 </w:t>
        </w:r>
      </w:hyperlink>
      <w:r>
        <w:rPr>
          <w:sz w:val="22"/>
          <w:szCs w:val="22"/>
          <w:lang w:eastAsia="fr-FR"/>
        </w:rPr>
        <w:t>du même code.</w:t>
      </w:r>
    </w:p>
    <w:p>
      <w:pPr>
        <w:pStyle w:val="Corpsdetexte"/>
        <w:spacing w:lineRule="auto" w:line="276" w:before="0" w:after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rFonts w:eastAsia="Arial"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</w:rPr>
        <w:t>3</w:t>
      </w:r>
      <w:r>
        <w:rPr>
          <w:rFonts w:eastAsia="Arial"/>
          <w:sz w:val="22"/>
          <w:szCs w:val="22"/>
        </w:rPr>
        <w:t xml:space="preserve">. </w:t>
      </w:r>
      <w:r>
        <w:rPr>
          <w:sz w:val="22"/>
          <w:szCs w:val="22"/>
        </w:rPr>
        <w:t xml:space="preserve">Les établissements publics d'enseignement supérieur ou leurs groupements agissant pour leur compte ; </w:t>
      </w:r>
    </w:p>
    <w:p>
      <w:pPr>
        <w:pStyle w:val="Corpsdetexte"/>
        <w:spacing w:lineRule="auto" w:line="276" w:before="0" w:after="0"/>
        <w:jc w:val="both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rFonts w:eastAsia="Arial"/>
          <w:sz w:val="22"/>
          <w:szCs w:val="22"/>
        </w:rPr>
        <w:t xml:space="preserve"> </w:t>
      </w:r>
      <w:r>
        <w:rPr>
          <w:rFonts w:eastAsia="Arial"/>
          <w:b/>
          <w:sz w:val="22"/>
          <w:szCs w:val="22"/>
        </w:rPr>
        <w:t>4</w:t>
      </w:r>
      <w:r>
        <w:rPr>
          <w:rFonts w:eastAsia="Arial"/>
          <w:sz w:val="22"/>
          <w:szCs w:val="22"/>
        </w:rPr>
        <w:t xml:space="preserve">. </w:t>
      </w:r>
      <w:r>
        <w:rPr>
          <w:sz w:val="22"/>
          <w:szCs w:val="22"/>
        </w:rPr>
        <w:t xml:space="preserve">Les établissements gérés par une chambre consulaire et les établissements d'enseignement supérieur consulaire mentionnés à l'article </w:t>
      </w:r>
      <w:hyperlink r:id="rId11">
        <w:r>
          <w:rPr>
            <w:rStyle w:val="ListLabel45"/>
            <w:color w:val="0000FF"/>
            <w:sz w:val="22"/>
            <w:szCs w:val="22"/>
            <w:u w:val="single"/>
          </w:rPr>
          <w:t xml:space="preserve">L. 711-17 du code de commerce </w:t>
        </w:r>
      </w:hyperlink>
    </w:p>
    <w:p>
      <w:pPr>
        <w:pStyle w:val="Corpsdetexte"/>
        <w:spacing w:lineRule="auto" w:line="276" w:before="0" w:after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>
        <w:rPr>
          <w:sz w:val="22"/>
          <w:szCs w:val="22"/>
        </w:rPr>
        <w:t>. Les établissements privés relevant de l'enseignement supérieur gérés par des organismes à but non lucratif ou leurs groupements agissant pour leur compte ;</w:t>
      </w:r>
    </w:p>
    <w:p>
      <w:pPr>
        <w:pStyle w:val="Corpsdetexte"/>
        <w:spacing w:lineRule="auto" w:line="276" w:before="0" w:after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>
        <w:rPr>
          <w:sz w:val="22"/>
          <w:szCs w:val="22"/>
        </w:rPr>
        <w:t>. Les établissements publics ou privés dispensant des formations conduisant aux diplômes professionnels délivrés par les ministères chargés de la santé, des affaires sociales, de la jeunesse et des sports ;</w:t>
      </w:r>
    </w:p>
    <w:p>
      <w:pPr>
        <w:pStyle w:val="Corpsdetexte"/>
        <w:spacing w:lineRule="auto" w:line="276" w:before="0" w:after="0"/>
        <w:jc w:val="both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. Les écoles de la deuxième chance, mentionnées à l'article </w:t>
      </w:r>
      <w:hyperlink r:id="rId12">
        <w:r>
          <w:rPr>
            <w:rStyle w:val="ListLabel45"/>
            <w:color w:val="0000FF"/>
            <w:sz w:val="22"/>
            <w:szCs w:val="22"/>
            <w:u w:val="single"/>
          </w:rPr>
          <w:t>L. 214-14 du code de l'éducation</w:t>
        </w:r>
      </w:hyperlink>
      <w:r>
        <w:rPr>
          <w:sz w:val="22"/>
          <w:szCs w:val="22"/>
        </w:rPr>
        <w:t xml:space="preserve">, les centres de formation gérés et administrés par l'établissement public d'insertion de la défense, mentionnés à l'article </w:t>
      </w:r>
      <w:hyperlink r:id="rId13">
        <w:r>
          <w:rPr>
            <w:rStyle w:val="ListLabel45"/>
            <w:color w:val="0000FF"/>
            <w:sz w:val="22"/>
            <w:szCs w:val="22"/>
            <w:u w:val="single"/>
          </w:rPr>
          <w:t>L. 130-1 du code du service national</w:t>
        </w:r>
      </w:hyperlink>
      <w:r>
        <w:rPr>
          <w:sz w:val="22"/>
          <w:szCs w:val="22"/>
        </w:rPr>
        <w:t>, et les établissements à but non lucratif concourant, par des actions de formation professionnelle, à offrir aux jeunes sans qualification une nouvelle chance d'accès à la qualification ;</w:t>
      </w:r>
    </w:p>
    <w:p>
      <w:pPr>
        <w:pStyle w:val="Corpsdetexte"/>
        <w:spacing w:lineRule="auto" w:line="276" w:before="0" w:after="0"/>
        <w:ind w:left="720" w:hanging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7a : Ecole de la deuxième chance</w:t>
      </w:r>
    </w:p>
    <w:p>
      <w:pPr>
        <w:pStyle w:val="Corpsdetexte"/>
        <w:spacing w:lineRule="auto" w:line="276" w:before="0" w:after="0"/>
        <w:ind w:left="720" w:hanging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7b : les centres de formation  gérés et administrés par l’établissement public d’insertion de la défense</w:t>
      </w:r>
    </w:p>
    <w:p>
      <w:pPr>
        <w:pStyle w:val="Corpsdetexte"/>
        <w:spacing w:lineRule="auto" w:line="276" w:before="0" w:after="0"/>
        <w:ind w:left="720" w:hanging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7c : Les établissements concourant à offrir a</w:t>
      </w:r>
      <w:r>
        <w:rPr>
          <w:sz w:val="22"/>
          <w:szCs w:val="22"/>
        </w:rPr>
        <w:t>ux jeunes une nouvelle chance d’accès à la qualification</w:t>
      </w:r>
    </w:p>
    <w:p>
      <w:pPr>
        <w:pStyle w:val="Corpsdetexte"/>
        <w:tabs>
          <w:tab w:val="clear" w:pos="708"/>
          <w:tab w:val="left" w:pos="709" w:leader="none"/>
        </w:tabs>
        <w:spacing w:lineRule="auto" w:line="276" w:before="0" w:after="0"/>
        <w:jc w:val="both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Les établissements ou services d'enseignement qui assurent, à titre principal, une éducation adaptée et un accompagnement social ou médico-social aux mineurs ou jeunes adultes handicapés ou présentant des difficultés d'adaptation, mentionnés au 2° du I de l'article </w:t>
      </w:r>
      <w:hyperlink r:id="rId14">
        <w:r>
          <w:rPr>
            <w:rStyle w:val="ListLabel45"/>
            <w:color w:val="0000FF"/>
            <w:sz w:val="22"/>
            <w:szCs w:val="22"/>
            <w:u w:val="single"/>
          </w:rPr>
          <w:t xml:space="preserve">L. 312-1 du code de l'action sociale et des familles, </w:t>
        </w:r>
      </w:hyperlink>
      <w:r>
        <w:rPr>
          <w:sz w:val="22"/>
          <w:szCs w:val="22"/>
        </w:rPr>
        <w:t xml:space="preserve">ainsi que les établissements délivrant l'enseignement adapté prévu au premier alinéa de l'article </w:t>
      </w:r>
      <w:hyperlink r:id="rId15">
        <w:r>
          <w:rPr>
            <w:rStyle w:val="ListLabel45"/>
            <w:color w:val="0000FF"/>
            <w:sz w:val="22"/>
            <w:szCs w:val="22"/>
            <w:u w:val="single"/>
          </w:rPr>
          <w:t>L. 332-4 du code de l'éducation</w:t>
        </w:r>
      </w:hyperlink>
      <w:r>
        <w:rPr>
          <w:sz w:val="22"/>
          <w:szCs w:val="22"/>
        </w:rPr>
        <w:t xml:space="preserve"> ;</w:t>
      </w:r>
    </w:p>
    <w:p>
      <w:pPr>
        <w:pStyle w:val="Corpsdetexte"/>
        <w:tabs>
          <w:tab w:val="clear" w:pos="708"/>
          <w:tab w:val="left" w:pos="709" w:leader="none"/>
        </w:tabs>
        <w:spacing w:lineRule="auto" w:line="276" w:before="0" w:after="0"/>
        <w:ind w:left="720" w:hanging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8a : Les établissements ou services d'enseignement qui assurent, à titre principal, une éducation adaptée et un accompagnement social ou médico-social aux mineurs ou jeunes adultes handicapés ou présentant des difficultés d'adaptation ;</w:t>
      </w:r>
    </w:p>
    <w:p>
      <w:pPr>
        <w:pStyle w:val="Corpsdetexte"/>
        <w:tabs>
          <w:tab w:val="clear" w:pos="708"/>
          <w:tab w:val="left" w:pos="709" w:leader="none"/>
        </w:tabs>
        <w:spacing w:lineRule="auto" w:line="276" w:before="0" w:after="0"/>
        <w:ind w:left="720" w:hanging="0"/>
        <w:jc w:val="both"/>
        <w:rPr/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8b : les établissements délivrant l'enseignement adapté prévu au premier alinéa de l'article </w:t>
      </w:r>
      <w:hyperlink r:id="rId16">
        <w:r>
          <w:rPr>
            <w:rStyle w:val="ListLabel45"/>
            <w:color w:val="0000FF"/>
            <w:sz w:val="22"/>
            <w:szCs w:val="22"/>
            <w:u w:val="single"/>
          </w:rPr>
          <w:t>L. 332-4 du code de l'éducation</w:t>
        </w:r>
      </w:hyperlink>
    </w:p>
    <w:p>
      <w:pPr>
        <w:pStyle w:val="Corpsdetexte"/>
        <w:spacing w:lineRule="auto" w:line="276" w:before="0" w:after="0"/>
        <w:ind w:left="-11" w:hanging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>
        <w:rPr>
          <w:sz w:val="22"/>
          <w:szCs w:val="22"/>
        </w:rPr>
        <w:t>. Les établissements ou services mentionnés au 5° du I de l'article L. 312-1 du code de l'action sociale et des familles ;</w:t>
      </w:r>
    </w:p>
    <w:p>
      <w:pPr>
        <w:pStyle w:val="Corpsdetexte"/>
        <w:spacing w:lineRule="auto" w:line="276" w:before="0" w:after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>
        <w:rPr>
          <w:sz w:val="22"/>
          <w:szCs w:val="22"/>
        </w:rPr>
        <w:t>. Les établissements ou services à caractère expérimental accueillant des jeunes handicapés ou présentant des difficultés d'adaptation, mentionnés au 12° du I du même article L. 312-1 ;</w:t>
      </w:r>
    </w:p>
    <w:p>
      <w:pPr>
        <w:pStyle w:val="Corpsdetexte"/>
        <w:spacing w:lineRule="auto" w:line="276" w:before="0" w:after="0"/>
        <w:jc w:val="both"/>
        <w:rPr>
          <w:sz w:val="22"/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>
        <w:rPr>
          <w:sz w:val="22"/>
          <w:szCs w:val="22"/>
        </w:rPr>
        <w:t>. Les organismes participant au service public de l'orientation tout au long de la vie, dont la liste est établie par décision du président du conseil régional (conformément au décret n°2019-1491 du 27 septembre 2019) ;</w:t>
      </w:r>
    </w:p>
    <w:p>
      <w:pPr>
        <w:pStyle w:val="Normal"/>
        <w:suppressAutoHyphens w:val="false"/>
        <w:spacing w:lineRule="auto" w:line="276"/>
        <w:ind w:left="-720" w:firstLine="708"/>
        <w:rPr>
          <w:szCs w:val="22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>
        <w:rPr>
          <w:sz w:val="22"/>
          <w:szCs w:val="22"/>
        </w:rPr>
        <w:t>. Les écoles de production mentionnées à l'article L. 443-6 du code de l'éducation.</w:t>
      </w:r>
      <w:r>
        <w:rPr>
          <w:szCs w:val="22"/>
        </w:rPr>
        <w:t xml:space="preserve"> </w:t>
      </w:r>
      <w:r>
        <w:br w:type="page"/>
      </w:r>
    </w:p>
    <w:p>
      <w:pPr>
        <w:pStyle w:val="Corpsdetexte"/>
        <w:spacing w:before="0" w:after="0"/>
        <w:ind w:left="7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rpsdetexte"/>
        <w:spacing w:before="0" w:after="0"/>
        <w:ind w:left="72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rFonts w:eastAsia="Wingdings 3" w:cs="Wingdings 3" w:ascii="Wingdings 3" w:hAnsi="Wingdings 3"/>
          <w:sz w:val="22"/>
          <w:szCs w:val="22"/>
        </w:rPr>
        <w:t>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Selon la catégorie pour laquelle vous demandez une d’habilitation, </w:t>
      </w:r>
      <w:r>
        <w:rPr>
          <w:rFonts w:eastAsia="Wingdings 3" w:cs="Wingdings 3" w:ascii="Wingdings 3" w:hAnsi="Wingdings 3"/>
          <w:b/>
          <w:sz w:val="22"/>
          <w:szCs w:val="22"/>
        </w:rPr>
        <w:t></w:t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merci de renseigner les tableaux ci-dessous </w:t>
      </w:r>
    </w:p>
    <w:p>
      <w:pPr>
        <w:pStyle w:val="Normal"/>
        <w:tabs>
          <w:tab w:val="clear" w:pos="708"/>
          <w:tab w:val="left" w:pos="10204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left" w:pos="10204" w:leader="none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tabs>
          <w:tab w:val="clear" w:pos="708"/>
          <w:tab w:val="left" w:pos="10204" w:leader="none"/>
        </w:tabs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shd w:fill="B8CCE4" w:val="clear"/>
        </w:rPr>
        <w:t>Tableau 1</w:t>
      </w:r>
      <w:r>
        <w:rPr>
          <w:b/>
          <w:sz w:val="22"/>
          <w:szCs w:val="22"/>
        </w:rPr>
        <w:t xml:space="preserve"> : à renseigner par les établissements/organismes qui demandent une habilitation </w:t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au titre des formations (catégories du 1° au 6° de l’article L.6241-5). </w:t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rFonts w:eastAsia="Wingdings 3" w:cs="Wingdings 3" w:ascii="Wingdings 3" w:hAnsi="Wingdings 3"/>
          <w:b/>
          <w:sz w:val="22"/>
          <w:szCs w:val="22"/>
        </w:rPr>
        <w:t>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 tableau est à multiplier autant de fois que nécessaire.</w:t>
      </w:r>
    </w:p>
    <w:p>
      <w:pPr>
        <w:pStyle w:val="Normal"/>
        <w:tabs>
          <w:tab w:val="clear" w:pos="708"/>
          <w:tab w:val="left" w:pos="10204" w:leader="none"/>
        </w:tabs>
        <w:ind w:firstLine="142"/>
        <w:rPr>
          <w:rFonts w:ascii="Calibri" w:hAnsi="Calibri" w:cs="Calibri"/>
          <w:sz w:val="24"/>
          <w:vertAlign w:val="superscript"/>
        </w:rPr>
      </w:pPr>
      <w:r>
        <w:rPr>
          <w:rFonts w:cs="Calibri" w:ascii="Calibri" w:hAnsi="Calibri"/>
          <w:sz w:val="24"/>
          <w:vertAlign w:val="superscript"/>
        </w:rPr>
      </w:r>
    </w:p>
    <w:p>
      <w:pPr>
        <w:pStyle w:val="Normal"/>
        <w:tabs>
          <w:tab w:val="clear" w:pos="708"/>
          <w:tab w:val="left" w:pos="10204" w:leader="none"/>
        </w:tabs>
        <w:ind w:firstLine="142"/>
        <w:rPr>
          <w:rFonts w:ascii="Calibri" w:hAnsi="Calibri" w:cs="Calibri"/>
          <w:sz w:val="24"/>
          <w:vertAlign w:val="superscript"/>
        </w:rPr>
      </w:pPr>
      <w:r>
        <w:rPr>
          <w:rFonts w:cs="Calibri" w:ascii="Calibri" w:hAnsi="Calibri"/>
          <w:sz w:val="24"/>
          <w:vertAlign w:val="superscript"/>
        </w:rPr>
      </w:r>
    </w:p>
    <w:p>
      <w:pPr>
        <w:pStyle w:val="Normal"/>
        <w:tabs>
          <w:tab w:val="clear" w:pos="708"/>
          <w:tab w:val="left" w:pos="10204" w:leader="none"/>
        </w:tabs>
        <w:ind w:firstLine="142"/>
        <w:rPr>
          <w:rFonts w:ascii="Calibri" w:hAnsi="Calibri" w:cs="Calibri"/>
          <w:sz w:val="24"/>
          <w:vertAlign w:val="superscript"/>
        </w:rPr>
      </w:pPr>
      <w:r>
        <w:rPr>
          <w:rFonts w:cs="Calibri" w:ascii="Calibri" w:hAnsi="Calibri"/>
          <w:sz w:val="24"/>
          <w:vertAlign w:val="superscript"/>
        </w:rPr>
      </w:r>
    </w:p>
    <w:tbl>
      <w:tblPr>
        <w:tblW w:w="936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00"/>
        <w:gridCol w:w="4964"/>
      </w:tblGrid>
      <w:tr>
        <w:trPr>
          <w:trHeight w:val="1263" w:hRule="atLeast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i/>
                <w:i/>
              </w:rPr>
            </w:pPr>
            <w:r>
              <w:rPr>
                <w:b/>
                <w:i/>
                <w:sz w:val="22"/>
              </w:rPr>
              <w:t>Formations proposées pour 2022 / 2023</w:t>
            </w:r>
          </w:p>
          <w:p>
            <w:pPr>
              <w:pStyle w:val="List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  <w:sz w:val="18"/>
              </w:rPr>
              <w:t>(une fiche par formation)</w:t>
            </w:r>
          </w:p>
        </w:tc>
      </w:tr>
      <w:tr>
        <w:trPr>
          <w:trHeight w:val="722" w:hRule="atLeast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Intitulé de la formation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Diplôme préparé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850" w:hRule="atLeast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Code RNCP</w:t>
            </w:r>
          </w:p>
          <w:p>
            <w:pPr>
              <w:pStyle w:val="List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(répertoire national de la certification professionnelle)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10" w:hRule="atLeast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120" w:after="12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Enseignements technologiques ou professionnels dispensés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120" w:after="12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120" w:after="12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41" w:hRule="atLeast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Niveau initial requis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Liste"/>
              <w:snapToGrid w:val="fals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49" w:hRule="atLeast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Niveau préparé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69" w:hRule="atLeast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Durée totale de la formation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2096" w:hRule="atLeast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Effectif accueilli à la rentrée 2021/2022 dans ces différents statuts :</w:t>
            </w:r>
          </w:p>
          <w:p>
            <w:pPr>
              <w:pStyle w:val="Liste"/>
              <w:spacing w:before="0" w:after="0"/>
              <w:jc w:val="right"/>
              <w:rPr>
                <w:i/>
                <w:i/>
              </w:rPr>
            </w:pPr>
            <w:r>
              <w:rPr>
                <w:b/>
                <w:bCs/>
                <w:i/>
              </w:rPr>
              <w:t xml:space="preserve">- </w:t>
            </w:r>
            <w:r>
              <w:rPr>
                <w:i/>
              </w:rPr>
              <w:t>statut scolaire</w:t>
            </w:r>
          </w:p>
          <w:p>
            <w:pPr>
              <w:pStyle w:val="Liste"/>
              <w:spacing w:before="0" w:after="0"/>
              <w:jc w:val="righ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jc w:val="right"/>
              <w:rPr>
                <w:i/>
                <w:i/>
              </w:rPr>
            </w:pPr>
            <w:r>
              <w:rPr>
                <w:i/>
              </w:rPr>
              <w:t>- statut étudiant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e"/>
              <w:spacing w:before="120" w:after="0"/>
              <w:rPr>
                <w:i/>
                <w:i/>
              </w:rPr>
            </w:pPr>
            <w:r>
              <w:rPr>
                <w:b/>
                <w:i/>
                <w:sz w:val="22"/>
              </w:rPr>
              <w:t>Observations :</w:t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false"/>
        <w:rPr/>
      </w:pPr>
      <w:r>
        <w:rPr/>
      </w:r>
      <w:r>
        <w:br w:type="page"/>
      </w:r>
    </w:p>
    <w:p>
      <w:pPr>
        <w:pStyle w:val="Liste"/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  <w:tab w:val="left" w:pos="1418" w:leader="none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shd w:fill="FFFFFF" w:val="clear"/>
        </w:rPr>
        <w:tab/>
      </w:r>
      <w:r>
        <w:rPr>
          <w:b/>
          <w:sz w:val="22"/>
          <w:szCs w:val="22"/>
          <w:shd w:fill="B8CCE4" w:val="clear"/>
        </w:rPr>
        <w:t>Tableau 2</w:t>
      </w:r>
      <w:r>
        <w:rPr>
          <w:b/>
          <w:sz w:val="22"/>
          <w:szCs w:val="22"/>
        </w:rPr>
        <w:t> : à renseigner par les établissements/organismes qui demandent une habilitation au</w:t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>titre de l’insertion professionnelle ou du Service Public Régional de l’Orientation </w:t>
      </w:r>
    </w:p>
    <w:p>
      <w:pPr>
        <w:pStyle w:val="Normal"/>
        <w:tabs>
          <w:tab w:val="clear" w:pos="708"/>
          <w:tab w:val="left" w:pos="1418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(catégories du 7° au 12° de l’article L.6241-5). </w:t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10204" w:leader="none"/>
        </w:tabs>
        <w:jc w:val="center"/>
        <w:rPr>
          <w:b/>
          <w:b/>
          <w:sz w:val="22"/>
          <w:szCs w:val="22"/>
        </w:rPr>
      </w:pPr>
      <w:r>
        <w:rPr>
          <w:rFonts w:eastAsia="Wingdings 3" w:cs="Wingdings 3" w:ascii="Wingdings 3" w:hAnsi="Wingdings 3"/>
          <w:b/>
          <w:sz w:val="22"/>
          <w:szCs w:val="22"/>
        </w:rPr>
        <w:t>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 tableau est à multiplier autant de fois que nécessaire.</w:t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tbl>
      <w:tblPr>
        <w:tblW w:w="9365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36"/>
        <w:gridCol w:w="5028"/>
      </w:tblGrid>
      <w:tr>
        <w:trPr>
          <w:trHeight w:val="1011" w:hRule="atLeast"/>
        </w:trPr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i/>
                <w:i/>
                <w:sz w:val="22"/>
              </w:rPr>
            </w:pPr>
            <w:r>
              <w:rPr>
                <w:b/>
                <w:i/>
                <w:sz w:val="22"/>
              </w:rPr>
              <w:t>Action proposée pour 2022 / 2023</w:t>
            </w:r>
          </w:p>
          <w:p>
            <w:pPr>
              <w:pStyle w:val="List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  <w:sz w:val="18"/>
              </w:rPr>
              <w:t>(une fiche par action)</w:t>
            </w:r>
          </w:p>
        </w:tc>
      </w:tr>
      <w:tr>
        <w:trPr>
          <w:trHeight w:val="851" w:hRule="atLeast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Intitulé de l’action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830" w:hRule="atLeast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Descriptif de l’action</w:t>
            </w:r>
          </w:p>
          <w:p>
            <w:pPr>
              <w:pStyle w:val="List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(la description peut être accompagnée de supports (flyers, lien vers site internet…))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850" w:hRule="atLeast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Objectif  visé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655" w:hRule="atLeast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Typologie des bénéficiaires</w:t>
            </w:r>
          </w:p>
          <w:p>
            <w:pPr>
              <w:pStyle w:val="Liste"/>
              <w:snapToGrid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i/>
              </w:rPr>
              <w:t>(préciser le statut, l’âge…)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541" w:hRule="atLeast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Effectif accueilli en 2022</w:t>
            </w:r>
          </w:p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 prévu en 2023</w:t>
            </w:r>
          </w:p>
          <w:p>
            <w:pPr>
              <w:pStyle w:val="Liste"/>
              <w:spacing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(à détailler par typologie)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napToGrid w:val="fals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Liste"/>
              <w:snapToGrid w:val="fals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Liste"/>
              <w:snapToGrid w:val="fals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49" w:hRule="atLeast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Pilotage de l’action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napToGrid w:val="fals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  <w:p>
            <w:pPr>
              <w:pStyle w:val="Liste"/>
              <w:snapToGrid w:val="fals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569" w:hRule="atLeast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Partenaires</w:t>
            </w:r>
          </w:p>
          <w:p>
            <w:pPr>
              <w:pStyle w:val="Liste"/>
              <w:spacing w:before="0" w:after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>
          <w:trHeight w:val="851" w:hRule="atLeast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List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e"/>
              <w:snapToGrid w:val="fals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9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e"/>
              <w:spacing w:before="120" w:after="0"/>
              <w:rPr>
                <w:i/>
                <w:i/>
              </w:rPr>
            </w:pPr>
            <w:r>
              <w:rPr>
                <w:b/>
                <w:i/>
                <w:sz w:val="22"/>
              </w:rPr>
              <w:t>Observations :</w:t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Liste"/>
              <w:spacing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>
          <w:szCs w:val="18"/>
        </w:rPr>
      </w:pPr>
      <w:r>
        <w:rPr>
          <w:i/>
          <w:szCs w:val="18"/>
        </w:rPr>
        <w:t>Pour les établissement/organismes postulant au titre du Service Public Régional de l’Orientation, il convient de retourner le formulaire au Conseil Régional du Grand Est</w:t>
      </w:r>
      <w:r>
        <w:rPr>
          <w:szCs w:val="18"/>
        </w:rPr>
        <w:t>.</w:t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  <w:drawing>
          <wp:inline distT="0" distB="0" distL="0" distR="0">
            <wp:extent cx="1685925" cy="771525"/>
            <wp:effectExtent l="0" t="0" r="0" b="0"/>
            <wp:docPr id="4" name="Image 4" descr="C:\Users\lucie.schricke\AppData\Local\Microsoft\Windows\INetCache\Content.Outlook\SE1P4W8A\logo_region_grand_es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lucie.schricke\AppData\Local\Microsoft\Windows\INetCache\Content.Outlook\SE1P4W8A\logo_region_grand_est (3)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>
          <w:sz w:val="22"/>
          <w:szCs w:val="22"/>
        </w:rPr>
      </w:pPr>
      <w:r>
        <w:rPr>
          <w:rFonts w:eastAsia="Wingdings 3" w:cs="Wingdings 3" w:ascii="Wingdings 3" w:hAnsi="Wingdings 3"/>
          <w:sz w:val="22"/>
          <w:szCs w:val="22"/>
        </w:rPr>
        <w:t>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Pour le remplissage du dossier, en cas de besoin, vous pouvez vous rapprocher du référent régional mentionné figurant en Annexe 1 (selon la tutelle pédagogique et/ou le champ de compétences).</w:t>
      </w:r>
      <w:r>
        <w:br w:type="page"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4536" w:leader="none"/>
        </w:tabs>
        <w:suppressAutoHyphens w:val="false"/>
        <w:jc w:val="center"/>
        <w:rPr>
          <w:rFonts w:eastAsia="SimSun"/>
          <w:b/>
          <w:b/>
          <w:bCs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</w:r>
    </w:p>
    <w:p>
      <w:pPr>
        <w:pStyle w:val="Normal"/>
        <w:tabs>
          <w:tab w:val="clear" w:pos="708"/>
          <w:tab w:val="left" w:pos="4536" w:leader="none"/>
        </w:tabs>
        <w:suppressAutoHyphens w:val="false"/>
        <w:jc w:val="center"/>
        <w:rPr>
          <w:rFonts w:eastAsia="SimSun"/>
          <w:b/>
          <w:b/>
          <w:bCs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  <w:t>Annexe 1</w:t>
      </w:r>
    </w:p>
    <w:p>
      <w:pPr>
        <w:pStyle w:val="Liste"/>
        <w:spacing w:before="0" w:after="0"/>
        <w:rPr/>
      </w:pPr>
      <w:r>
        <w:rPr/>
      </w:r>
    </w:p>
    <w:p>
      <w:pPr>
        <w:pStyle w:val="Normal"/>
        <w:shd w:val="clear" w:color="auto" w:fill="B8CCE4" w:themeFill="accent1" w:themeFillTint="66"/>
        <w:tabs>
          <w:tab w:val="clear" w:pos="708"/>
          <w:tab w:val="left" w:pos="4536" w:leader="none"/>
        </w:tabs>
        <w:suppressAutoHyphens w:val="false"/>
        <w:jc w:val="center"/>
        <w:rPr>
          <w:rFonts w:eastAsia="SimSun"/>
          <w:b/>
          <w:b/>
          <w:bCs/>
          <w:color w:val="000000"/>
          <w:kern w:val="2"/>
          <w:sz w:val="22"/>
          <w:szCs w:val="22"/>
          <w:lang w:bidi="hi-IN"/>
        </w:rPr>
      </w:pPr>
      <w:r>
        <w:rPr>
          <w:rFonts w:eastAsia="SimSun"/>
          <w:b/>
          <w:bCs/>
          <w:color w:val="000000"/>
          <w:kern w:val="2"/>
          <w:sz w:val="22"/>
          <w:szCs w:val="22"/>
          <w:lang w:bidi="hi-IN"/>
        </w:rPr>
        <w:t>LISTE DES REFERENTS GRAND EST « SOLDE TAXE D’APPRENTISSAGE »</w:t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tbl>
      <w:tblPr>
        <w:tblW w:w="9072" w:type="dxa"/>
        <w:jc w:val="center"/>
        <w:tblInd w:w="0" w:type="dxa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79"/>
        <w:gridCol w:w="1951"/>
        <w:gridCol w:w="3447"/>
        <w:gridCol w:w="1494"/>
      </w:tblGrid>
      <w:tr>
        <w:trPr>
          <w:trHeight w:val="82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pacing w:before="120" w:after="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Nathalie GENY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pacing w:lineRule="auto" w:line="259"/>
              <w:jc w:val="center"/>
              <w:rPr/>
            </w:pPr>
            <w:r>
              <w:rPr>
                <w:rFonts w:eastAsia="SimSun"/>
                <w:sz w:val="18"/>
                <w:szCs w:val="18"/>
                <w:lang w:bidi="hi-IN"/>
              </w:rPr>
              <w:t>Stéphanie LECLERE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pacing w:before="120" w:after="120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Conseil Régional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18">
              <w:r>
                <w:rPr>
                  <w:rStyle w:val="ListLabel46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nathalie.geny@grandest.fr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19">
              <w:r>
                <w:rPr>
                  <w:rStyle w:val="LienInternet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stephanie.leclere@grandest.fr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03.87.33.60.40</w:t>
            </w:r>
          </w:p>
          <w:p>
            <w:pPr>
              <w:pStyle w:val="Normal"/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03.26.70.85.75</w:t>
            </w:r>
          </w:p>
        </w:tc>
      </w:tr>
      <w:tr>
        <w:trPr>
          <w:trHeight w:val="832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Lucie SCHRICKE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Elise ROLAND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DREETS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b/>
                <w:b/>
                <w:i/>
                <w:i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b/>
                <w:i/>
                <w:kern w:val="2"/>
                <w:sz w:val="18"/>
                <w:szCs w:val="18"/>
                <w:lang w:bidi="hi-IN"/>
              </w:rPr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ge.developpement-emploi</w:t>
            </w:r>
            <w:hyperlink r:id="rId20">
              <w:r>
                <w:rPr>
                  <w:rStyle w:val="ListLabel46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@dreets.gouv.fr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03.69.20.97.50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03.83.30.89.72</w:t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Marie-Laurence PRESI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Sylvie KLECK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Rectorat Strasbourg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/>
            </w:pPr>
            <w:hyperlink r:id="rId21">
              <w:r>
                <w:rPr>
                  <w:rStyle w:val="ListLabel46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ce.daet-apprentissage@ac-strasbourg.fr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03.90.23.53.65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03.67.18.15.95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Florent FLAMION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Rectorat Nancy-Metz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florent.flamion@ac-nancy-metz.fr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06.59.67.78.10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bCs/>
                <w:kern w:val="2"/>
                <w:sz w:val="18"/>
                <w:szCs w:val="18"/>
                <w:lang w:bidi="hi-IN"/>
              </w:rPr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Dominique DELPUECH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Rectorat Reims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dominique.delpuech@ac-reims.fr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06.16.08.39.50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</w:tr>
      <w:tr>
        <w:trPr>
          <w:trHeight w:val="880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000000" w:themeColor="text1"/>
                <w:kern w:val="2"/>
                <w:sz w:val="18"/>
                <w:szCs w:val="18"/>
                <w:lang w:bidi="hi-IN"/>
              </w:rPr>
              <w:t>Anne STEYDLI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UNISTRA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de Strasbourg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22">
              <w:r>
                <w:rPr>
                  <w:rStyle w:val="ListLabel46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asteydli@unistra.fr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03.68.85.61.59</w:t>
            </w:r>
          </w:p>
        </w:tc>
      </w:tr>
      <w:tr>
        <w:trPr>
          <w:trHeight w:val="838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Sabrina GRIMAZ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UHA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Haute Alsace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23">
              <w:r>
                <w:rPr>
                  <w:rStyle w:val="ListLabel46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sabrina.grimaz@uha.fr</w:t>
              </w:r>
            </w:hyperlink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03.89.33.65.92</w:t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Annick GORKA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UL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de Lorraine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/>
            </w:pPr>
            <w:hyperlink r:id="rId24">
              <w:r>
                <w:rPr>
                  <w:rStyle w:val="ListLabel46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annick.gorka@univ-lorraine.fr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0000FF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color w:val="0000FF"/>
                <w:kern w:val="2"/>
                <w:sz w:val="18"/>
                <w:szCs w:val="18"/>
                <w:u w:val="single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03.72.74.03.96</w:t>
            </w:r>
          </w:p>
        </w:tc>
      </w:tr>
      <w:tr>
        <w:trPr>
          <w:trHeight w:val="567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Dominique COUTANT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Emmanuel HENON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Directeur DFPA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URCA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Université Reims CA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color w:val="1F497D" w:themeColor="text2"/>
                <w:kern w:val="2"/>
                <w:sz w:val="18"/>
                <w:szCs w:val="18"/>
                <w:highlight w:val="white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shd w:fill="FFFFFF" w:val="clear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/>
            </w:pPr>
            <w:hyperlink r:id="rId25">
              <w:r>
                <w:rPr>
                  <w:rStyle w:val="LienInternet"/>
                  <w:rFonts w:eastAsia="SimSun"/>
                  <w:color w:val="1F497D" w:themeColor="text2"/>
                  <w:kern w:val="2"/>
                  <w:sz w:val="18"/>
                  <w:szCs w:val="18"/>
                  <w:highlight w:val="white"/>
                  <w:lang w:bidi="hi-IN"/>
                </w:rPr>
                <w:t>dominique.coutant@univ-reims.fr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highlight w:val="white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shd w:fill="FFFFFF" w:val="clear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/>
            </w:pPr>
            <w:hyperlink r:id="rId26">
              <w:r>
                <w:rPr>
                  <w:rStyle w:val="LienInternet"/>
                  <w:rFonts w:eastAsia="SimSun"/>
                  <w:color w:val="1F497D" w:themeColor="text2"/>
                  <w:kern w:val="2"/>
                  <w:sz w:val="18"/>
                  <w:szCs w:val="18"/>
                  <w:highlight w:val="white"/>
                  <w:lang w:bidi="hi-IN"/>
                </w:rPr>
                <w:t>emmanuel.henon@univ-reims.fr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highlight w:val="white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shd w:fill="FFFFFF" w:val="clear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highlight w:val="white"/>
                <w:u w:val="single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shd w:fill="FFFFFF" w:val="clear"/>
                <w:lang w:bidi="hi-IN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03.26.91.89.96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03.26.91.39.77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06.61.72.67.41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Fabrice SAVARY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Stéphane GUILLIN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DRAAF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fabrice.</w:t>
            </w:r>
            <w:hyperlink r:id="rId27">
              <w:r>
                <w:rPr>
                  <w:rStyle w:val="LienInternet"/>
                  <w:rFonts w:eastAsia="SimSun"/>
                  <w:color w:val="1F497D" w:themeColor="text2"/>
                  <w:kern w:val="2"/>
                  <w:sz w:val="18"/>
                  <w:szCs w:val="18"/>
                  <w:lang w:bidi="hi-IN"/>
                </w:rPr>
                <w:t>savary@agriculture.gouv.fr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/>
            </w:pPr>
            <w:hyperlink r:id="rId28">
              <w:r>
                <w:rPr>
                  <w:rStyle w:val="ListLabel46"/>
                  <w:rFonts w:eastAsia="SimSun"/>
                  <w:color w:val="1F497D" w:themeColor="text2"/>
                  <w:kern w:val="2"/>
                  <w:sz w:val="18"/>
                  <w:szCs w:val="18"/>
                  <w:u w:val="single"/>
                  <w:lang w:bidi="hi-IN"/>
                </w:rPr>
                <w:t>stephane.guillin@agriculture.gouv.fr</w:t>
              </w:r>
            </w:hyperlink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06.07.75.57.19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06.25.93.74.05</w:t>
            </w:r>
          </w:p>
        </w:tc>
      </w:tr>
      <w:tr>
        <w:trPr>
          <w:trHeight w:val="657" w:hRule="atLeast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 xml:space="preserve">Lyviane BALIGAND 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Cécile SCHABER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Théo MORIEUX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ARS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bCs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</w:pPr>
            <w:r>
              <w:rPr>
                <w:rFonts w:eastAsia="SimSun"/>
                <w:bCs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ars-grandest-taxe-apprentissage@ars.sante.fr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03.88.76.82.48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03.88.76.79.69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03.83.39.29.94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Claire ANTONY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FF0000"/>
                <w:kern w:val="2"/>
                <w:sz w:val="18"/>
                <w:szCs w:val="18"/>
                <w:lang w:bidi="hi-IN"/>
              </w:rPr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DRAC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color w:val="1F497D" w:themeColor="text2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color w:val="1F497D" w:themeColor="text2"/>
                <w:kern w:val="2"/>
                <w:sz w:val="18"/>
                <w:szCs w:val="18"/>
                <w:u w:val="single"/>
                <w:lang w:bidi="hi-IN"/>
              </w:rPr>
              <w:t>claire.antony@culture.gouv.fr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jc w:val="center"/>
              <w:rPr>
                <w:rFonts w:eastAsia="SimSun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kern w:val="2"/>
                <w:sz w:val="18"/>
                <w:szCs w:val="18"/>
                <w:lang w:bidi="hi-IN"/>
              </w:rPr>
              <w:t>03.88.15.57.17</w:t>
            </w:r>
          </w:p>
        </w:tc>
      </w:tr>
      <w:tr>
        <w:trPr/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 xml:space="preserve">Marie  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ROGLER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rFonts w:eastAsia="SimSun"/>
                <w:bCs/>
                <w:color w:val="FF0000"/>
                <w:kern w:val="2"/>
                <w:sz w:val="18"/>
                <w:szCs w:val="18"/>
                <w:lang w:bidi="hi-IN"/>
              </w:rPr>
            </w:pPr>
            <w:r>
              <w:rPr>
                <w:rFonts w:eastAsia="SimSun"/>
                <w:bCs/>
                <w:color w:val="000000"/>
                <w:kern w:val="2"/>
                <w:sz w:val="18"/>
                <w:szCs w:val="18"/>
                <w:lang w:bidi="hi-IN"/>
              </w:rPr>
              <w:t>SGARE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u w:val="single"/>
                <w:lang w:bidi="hi-IN"/>
              </w:rPr>
              <w:t>marie.rogler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u w:val="single"/>
                <w:lang w:bidi="hi-IN"/>
              </w:rPr>
              <w:t>@grand-est.gouv.fr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03.88.21.60.1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</w:t>
            </w:r>
          </w:p>
          <w:p>
            <w:pPr>
              <w:pStyle w:val="Normal"/>
              <w:tabs>
                <w:tab w:val="clear" w:pos="708"/>
                <w:tab w:val="left" w:pos="4536" w:leader="none"/>
              </w:tabs>
              <w:suppressAutoHyphens w:val="false"/>
              <w:snapToGrid w:val="false"/>
              <w:spacing w:before="120" w:after="120"/>
              <w:jc w:val="center"/>
              <w:rPr>
                <w:color w:val="000000"/>
              </w:rPr>
            </w:pP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0</w:t>
            </w:r>
            <w:r>
              <w:rPr>
                <w:rFonts w:eastAsia="SimSun"/>
                <w:color w:val="000000"/>
                <w:kern w:val="2"/>
                <w:sz w:val="18"/>
                <w:szCs w:val="18"/>
                <w:lang w:bidi="hi-IN"/>
              </w:rPr>
              <w:t>6.08.40.45.60</w:t>
            </w:r>
          </w:p>
        </w:tc>
      </w:tr>
    </w:tbl>
    <w:p>
      <w:pPr>
        <w:pStyle w:val="Liste"/>
        <w:spacing w:before="0" w:after="0"/>
        <w:rPr/>
      </w:pPr>
      <w:r>
        <w:rPr/>
      </w:r>
    </w:p>
    <w:p>
      <w:pPr>
        <w:pStyle w:val="Liste"/>
        <w:spacing w:before="0" w:after="0"/>
        <w:rPr/>
      </w:pPr>
      <w:r>
        <w:rPr/>
      </w:r>
    </w:p>
    <w:sectPr>
      <w:footerReference w:type="default" r:id="rId29"/>
      <w:type w:val="nextPage"/>
      <w:pgSz w:w="11906" w:h="16838"/>
      <w:pgMar w:left="851" w:right="851" w:header="0" w:top="284" w:footer="220" w:bottom="425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MS Gothic">
    <w:charset w:val="00"/>
    <w:family w:val="roman"/>
    <w:pitch w:val="variable"/>
  </w:font>
  <w:font w:name="Wingdings 3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3712997"/>
    </w:sdtPr>
    <w:sdtContent>
      <w:p>
        <w:pPr>
          <w:pStyle w:val="Pieddepage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2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9ad"/>
    <w:pPr>
      <w:widowControl/>
      <w:suppressAutoHyphens w:val="true"/>
      <w:bidi w:val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fr-FR" w:bidi="ar-SA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basedOn w:val="Normal"/>
    <w:next w:val="Normal"/>
    <w:qFormat/>
    <w:pPr>
      <w:keepNext w:val="true"/>
      <w:numPr>
        <w:ilvl w:val="1"/>
        <w:numId w:val="1"/>
      </w:numPr>
      <w:spacing w:before="0" w:after="120"/>
      <w:jc w:val="both"/>
      <w:outlineLvl w:val="1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Wingdings" w:hAnsi="Wingdings" w:cs="Times New Roman"/>
      <w:color w:val="000000"/>
      <w:sz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Wingdings" w:hAnsi="Wingdings" w:cs="Times New Roman"/>
      <w:color w:val="000000"/>
      <w:sz w:val="22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Policepardfaut" w:customStyle="1">
    <w:name w:val="WW-Police par défaut"/>
    <w:qFormat/>
    <w:rPr/>
  </w:style>
  <w:style w:type="character" w:styleId="Marquedecommentaire1" w:customStyle="1">
    <w:name w:val="Marque de commentaire1"/>
    <w:qFormat/>
    <w:rPr>
      <w:sz w:val="16"/>
    </w:rPr>
  </w:style>
  <w:style w:type="character" w:styleId="LienInternet">
    <w:name w:val="Lien Internet"/>
    <w:rPr>
      <w:color w:val="0000FF"/>
      <w:u w:val="single"/>
    </w:rPr>
  </w:style>
  <w:style w:type="character" w:styleId="Caractresdenumrotation" w:customStyle="1">
    <w:name w:val="Caractères de numérotation"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WW8Num3z2" w:customStyle="1">
    <w:name w:val="WW8Num3z2"/>
    <w:qFormat/>
    <w:rPr>
      <w:rFonts w:ascii="Wingdings" w:hAnsi="Wingdings" w:cs="OpenSymbol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3z4" w:customStyle="1">
    <w:name w:val="WW8Num3z4"/>
    <w:qFormat/>
    <w:rPr>
      <w:rFonts w:ascii="Courier New" w:hAnsi="Courier New" w:cs="Microsoft YaHei"/>
    </w:rPr>
  </w:style>
  <w:style w:type="character" w:styleId="Caractresdenotedebasdepage" w:customStyle="1">
    <w:name w:val="Caractères de note de bas de page"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PieddepageCar" w:customStyle="1">
    <w:name w:val="Pied de page Car"/>
    <w:link w:val="Pieddepage"/>
    <w:uiPriority w:val="99"/>
    <w:qFormat/>
    <w:rsid w:val="009a3128"/>
    <w:rPr>
      <w:rFonts w:ascii="Arial" w:hAnsi="Arial" w:cs="Arial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af182d"/>
    <w:rPr>
      <w:b/>
      <w:bCs/>
      <w:smallCaps/>
      <w:color w:val="C0504D" w:themeColor="accent2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55247"/>
    <w:rPr>
      <w:color w:val="800080" w:themeColor="followed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612b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612b8"/>
    <w:rPr>
      <w:rFonts w:ascii="Arial" w:hAnsi="Arial" w:cs="Arial"/>
      <w:lang w:eastAsia="zh-CN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612b8"/>
    <w:rPr>
      <w:rFonts w:ascii="Arial" w:hAnsi="Arial" w:cs="Arial"/>
      <w:b/>
      <w:bCs/>
      <w:lang w:eastAsia="zh-CN"/>
    </w:rPr>
  </w:style>
  <w:style w:type="character" w:styleId="ListLabel1">
    <w:name w:val="ListLabel 1"/>
    <w:qFormat/>
    <w:rPr>
      <w:rFonts w:cs="Times New Roman"/>
      <w:color w:val="000000"/>
      <w:sz w:val="22"/>
    </w:rPr>
  </w:style>
  <w:style w:type="character" w:styleId="ListLabel2">
    <w:name w:val="ListLabel 2"/>
    <w:qFormat/>
    <w:rPr>
      <w:rFonts w:eastAsia="Wingdings" w:cs="Wingdings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 New Roman"/>
      <w:color w:val="000000"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Times New Roman"/>
      <w:color w:val="000000"/>
      <w:sz w:val="22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  <w:color w:val="000000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Times New Roman"/>
      <w:color w:val="000000"/>
      <w:sz w:val="2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Times New Roman"/>
      <w:color w:val="000000"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Arial"/>
    </w:rPr>
  </w:style>
  <w:style w:type="character" w:styleId="ListLabel27">
    <w:name w:val="ListLabel 27"/>
    <w:qFormat/>
    <w:rPr>
      <w:rFonts w:cs="Times New Roman"/>
      <w:color w:val="000000"/>
      <w:sz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Times New Roman"/>
      <w:color w:val="000000"/>
      <w:sz w:val="22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Times New Roman"/>
      <w:color w:val="000000"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  <w:color w:val="000000"/>
      <w:sz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i w:val="false"/>
      <w:sz w:val="22"/>
    </w:rPr>
  </w:style>
  <w:style w:type="character" w:styleId="ListLabel44">
    <w:name w:val="ListLabel 44"/>
    <w:qFormat/>
    <w:rPr>
      <w:color w:val="0000FF"/>
      <w:sz w:val="22"/>
      <w:szCs w:val="22"/>
      <w:u w:val="single"/>
      <w:lang w:eastAsia="fr-FR"/>
    </w:rPr>
  </w:style>
  <w:style w:type="character" w:styleId="ListLabel45">
    <w:name w:val="ListLabel 45"/>
    <w:qFormat/>
    <w:rPr>
      <w:color w:val="0000FF"/>
      <w:sz w:val="22"/>
      <w:szCs w:val="22"/>
      <w:u w:val="single"/>
    </w:rPr>
  </w:style>
  <w:style w:type="character" w:styleId="ListLabel46">
    <w:name w:val="ListLabel 46"/>
    <w:qFormat/>
    <w:rPr>
      <w:rFonts w:eastAsia="SimSun"/>
      <w:color w:val="1F497D" w:themeColor="text2"/>
      <w:kern w:val="2"/>
      <w:sz w:val="18"/>
      <w:szCs w:val="18"/>
      <w:u w:val="single"/>
      <w:lang w:bidi="hi-IN"/>
    </w:rPr>
  </w:style>
  <w:style w:type="character" w:styleId="ListLabel47">
    <w:name w:val="ListLabel 47"/>
    <w:qFormat/>
    <w:rPr>
      <w:rFonts w:eastAsia="SimSun"/>
      <w:color w:val="1F497D" w:themeColor="text2"/>
      <w:kern w:val="2"/>
      <w:sz w:val="18"/>
      <w:szCs w:val="18"/>
      <w:lang w:bidi="hi-IN"/>
    </w:rPr>
  </w:style>
  <w:style w:type="character" w:styleId="ListLabel48">
    <w:name w:val="ListLabel 48"/>
    <w:qFormat/>
    <w:rPr>
      <w:rFonts w:eastAsia="SimSun"/>
      <w:color w:val="1F497D" w:themeColor="text2"/>
      <w:kern w:val="2"/>
      <w:sz w:val="18"/>
      <w:szCs w:val="18"/>
      <w:shd w:fill="FFFFFF" w:val="clear"/>
      <w:lang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Commentaire1" w:customStyle="1">
    <w:name w:val="Commentaire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tte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orpsdetexte21" w:customStyle="1">
    <w:name w:val="Corps de texte 21"/>
    <w:basedOn w:val="Normal"/>
    <w:qFormat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1" w:color="000000"/>
      </w:pBdr>
      <w:shd w:val="clear" w:color="auto" w:fill="FFFFFF"/>
    </w:pPr>
    <w:rPr>
      <w:rFonts w:ascii="Calibri" w:hAnsi="Calibri" w:cs="Calibri"/>
      <w:b/>
      <w:color w:val="FF0000"/>
      <w:sz w:val="24"/>
    </w:rPr>
  </w:style>
  <w:style w:type="paragraph" w:styleId="Retraitdecorpsdetexte">
    <w:name w:val="Body Text Indent"/>
    <w:basedOn w:val="Normal"/>
    <w:pPr>
      <w:suppressAutoHyphens w:val="false"/>
      <w:ind w:left="708" w:hanging="0"/>
      <w:jc w:val="both"/>
    </w:pPr>
    <w:rPr>
      <w:sz w:val="22"/>
      <w:lang w:eastAsia="fr-FR"/>
    </w:rPr>
  </w:style>
  <w:style w:type="paragraph" w:styleId="Notedebasdepage">
    <w:name w:val="Footnote Text"/>
    <w:basedOn w:val="Normal"/>
    <w:pPr>
      <w:suppressLineNumbers/>
      <w:ind w:left="339" w:hanging="339"/>
    </w:pPr>
    <w:rPr/>
  </w:style>
  <w:style w:type="paragraph" w:styleId="NormalWeb">
    <w:name w:val="Normal (Web)"/>
    <w:basedOn w:val="Normal"/>
    <w:uiPriority w:val="99"/>
    <w:semiHidden/>
    <w:unhideWhenUsed/>
    <w:qFormat/>
    <w:rsid w:val="00601cfc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1bb7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612b8"/>
    <w:pPr/>
    <w:rPr/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0612b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microsoft.com/office/2007/relationships/hdphoto" Target="media/hdphoto1.wdp"/><Relationship Id="rId5" Type="http://schemas.openxmlformats.org/officeDocument/2006/relationships/image" Target="media/image3.jpeg"/><Relationship Id="rId6" Type="http://schemas.microsoft.com/office/2007/relationships/hdphoto" Target="media/hdphoto2.wdp"/><Relationship Id="rId7" Type="http://schemas.openxmlformats.org/officeDocument/2006/relationships/hyperlink" Target="https://www.legifrance.gouv.fr/affichCodeArticle.do?cidTexte=LEGITEXT000006071191&amp;idArticle=LEGIARTI000006525009&amp;dateTexte=&amp;categorieLien=cid" TargetMode="External"/><Relationship Id="rId8" Type="http://schemas.openxmlformats.org/officeDocument/2006/relationships/hyperlink" Target="https://www.legifrance.gouv.fr/affichCodeArticle.do?cidTexte=LEGITEXT000006071367&amp;idArticle=LEGIARTI000006586155&amp;dateTexte=&amp;categorieLien=cid" TargetMode="External"/><Relationship Id="rId9" Type="http://schemas.openxmlformats.org/officeDocument/2006/relationships/hyperlink" Target="https://www.legifrance.gouv.fr/affichCodeArticle.do?cidTexte=LEGITEXT000006071191&amp;idArticle=LEGIARTI000006525133&amp;dateTexte=&amp;categorieLien=cid" TargetMode="External"/><Relationship Id="rId10" Type="http://schemas.openxmlformats.org/officeDocument/2006/relationships/hyperlink" Target="https://www.legifrance.gouv.fr/affichCodeArticle.do?cidTexte=LEGITEXT000006071191&amp;idArticle=LEGIARTI000006525035&amp;dateTexte=&amp;categorieLien=cid" TargetMode="External"/><Relationship Id="rId11" Type="http://schemas.openxmlformats.org/officeDocument/2006/relationships/hyperlink" Target="https://www.legifrance.gouv.fr/affichCodeArticle.do?cidTexte=LEGITEXT000005634379&amp;idArticle=LEGIARTI000029930380&amp;dateTexte=&amp;categorieLien=cid" TargetMode="External"/><Relationship Id="rId12" Type="http://schemas.openxmlformats.org/officeDocument/2006/relationships/hyperlink" Target="https://www.legifrance.gouv.fr/affichCodeArticle.do?cidTexte=LEGITEXT000006071191&amp;idArticle=LEGIARTI000006524594&amp;dateTexte=&amp;categorieLien=cid" TargetMode="External"/><Relationship Id="rId13" Type="http://schemas.openxmlformats.org/officeDocument/2006/relationships/hyperlink" Target="https://www.legifrance.gouv.fr/affichCodeArticle.do?cidTexte=LEGITEXT000006071335&amp;idArticle=LEGIARTI000006556000&amp;dateTexte=&amp;categorieLien=cid" TargetMode="External"/><Relationship Id="rId14" Type="http://schemas.openxmlformats.org/officeDocument/2006/relationships/hyperlink" Target="https://www.legifrance.gouv.fr/affichCodeArticle.do?cidTexte=LEGITEXT000006074069&amp;idArticle=LEGIARTI000006797382&amp;dateTexte=&amp;categorieLien=cid" TargetMode="External"/><Relationship Id="rId15" Type="http://schemas.openxmlformats.org/officeDocument/2006/relationships/hyperlink" Target="https://www.legifrance.gouv.fr/affichCodeArticle.do?cidTexte=LEGITEXT000006071191&amp;idArticle=LEGIARTI000006524813&amp;dateTexte=&amp;categorieLien=cid" TargetMode="External"/><Relationship Id="rId16" Type="http://schemas.openxmlformats.org/officeDocument/2006/relationships/hyperlink" Target="https://www.legifrance.gouv.fr/affichCodeArticle.do?cidTexte=LEGITEXT000006071191&amp;idArticle=LEGIARTI000006524813&amp;dateTexte=&amp;categorieLien=cid" TargetMode="External"/><Relationship Id="rId17" Type="http://schemas.openxmlformats.org/officeDocument/2006/relationships/image" Target="media/image4.jpeg"/><Relationship Id="rId18" Type="http://schemas.openxmlformats.org/officeDocument/2006/relationships/hyperlink" Target="mailto:nathalie.geny@grandest.fr" TargetMode="External"/><Relationship Id="rId19" Type="http://schemas.openxmlformats.org/officeDocument/2006/relationships/hyperlink" Target="mailto:veronique.maussion@grandest.fr" TargetMode="External"/><Relationship Id="rId20" Type="http://schemas.openxmlformats.org/officeDocument/2006/relationships/hyperlink" Target="mailto:chantal.hedde@direccte.gouv.fr" TargetMode="External"/><Relationship Id="rId21" Type="http://schemas.openxmlformats.org/officeDocument/2006/relationships/hyperlink" Target="mailto:ce.daet-apprentissage@ac-strasbourg.fr" TargetMode="External"/><Relationship Id="rId22" Type="http://schemas.openxmlformats.org/officeDocument/2006/relationships/hyperlink" Target="mailto:asteydli@unistra.fr" TargetMode="External"/><Relationship Id="rId23" Type="http://schemas.openxmlformats.org/officeDocument/2006/relationships/hyperlink" Target="mailto:sabrina.grimaz@uha.fr" TargetMode="External"/><Relationship Id="rId24" Type="http://schemas.openxmlformats.org/officeDocument/2006/relationships/hyperlink" Target="mailto:annick.gorka@univ-lorraine.fr" TargetMode="External"/><Relationship Id="rId25" Type="http://schemas.openxmlformats.org/officeDocument/2006/relationships/hyperlink" Target="mailto:dominique.coutant@univ-reims.fr" TargetMode="External"/><Relationship Id="rId26" Type="http://schemas.openxmlformats.org/officeDocument/2006/relationships/hyperlink" Target="mailto:emmanuel.henon@univ-reims.fr" TargetMode="External"/><Relationship Id="rId27" Type="http://schemas.openxmlformats.org/officeDocument/2006/relationships/hyperlink" Target="mailto:savary@agriculture.gouv.fr" TargetMode="External"/><Relationship Id="rId28" Type="http://schemas.openxmlformats.org/officeDocument/2006/relationships/hyperlink" Target="mailto:stephane.guillin@agriculture.gouv.fr" TargetMode="External"/><Relationship Id="rId29" Type="http://schemas.openxmlformats.org/officeDocument/2006/relationships/footer" Target="footer1.xml"/><Relationship Id="rId30" Type="http://schemas.openxmlformats.org/officeDocument/2006/relationships/numbering" Target="numbering.xml"/><Relationship Id="rId31" Type="http://schemas.openxmlformats.org/officeDocument/2006/relationships/fontTable" Target="fontTable.xml"/><Relationship Id="rId32" Type="http://schemas.openxmlformats.org/officeDocument/2006/relationships/settings" Target="settings.xml"/><Relationship Id="rId33" Type="http://schemas.openxmlformats.org/officeDocument/2006/relationships/theme" Target="theme/theme1.xml"/><Relationship Id="rId3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AF15-71F0-4629-8EAC-A5E28386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LibreOffice/6.2.8.2.M1$Windows_X86_64 LibreOffice_project/ba352b96595e9b31d57a5fb2829eccca433f28f7</Application>
  <Pages>8</Pages>
  <Words>1520</Words>
  <Characters>9115</Characters>
  <CharactersWithSpaces>10586</CharactersWithSpaces>
  <Paragraphs>203</Paragraphs>
  <Company>Ministères Chargés des Affaires Sociales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2022-08-25T12:07:44Z</dcterms:created>
  <dc:creator/>
  <dc:description/>
  <dc:language>fr-FR</dc:language>
  <cp:lastModifiedBy/>
  <cp:revision>1</cp:revision>
  <dc:subject/>
  <dc:title>ACADEMIE DE VERSAILLES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Ministères Chargés des Affaires Sociales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